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0B" w:rsidRPr="000A3F70" w:rsidRDefault="00527584" w:rsidP="00527584">
      <w:pPr>
        <w:jc w:val="center"/>
        <w:rPr>
          <w:rFonts w:ascii="Calibri-Light" w:hAnsi="Calibri-Light" w:cs="Calibri-Light"/>
          <w:b/>
          <w:sz w:val="26"/>
          <w:szCs w:val="26"/>
        </w:rPr>
      </w:pPr>
      <w:bookmarkStart w:id="0" w:name="_GoBack"/>
      <w:bookmarkEnd w:id="0"/>
      <w:r w:rsidRPr="000A3F70">
        <w:rPr>
          <w:rFonts w:ascii="Calibri-Light" w:hAnsi="Calibri-Light" w:cs="Calibri-Light"/>
          <w:b/>
          <w:sz w:val="26"/>
          <w:szCs w:val="26"/>
        </w:rPr>
        <w:t>Independent Programme Review Report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4B6E8E" w:rsidRPr="000A3F70" w:rsidTr="4B803086">
        <w:tc>
          <w:tcPr>
            <w:tcW w:w="3261" w:type="dxa"/>
            <w:shd w:val="clear" w:color="auto" w:fill="DEEAF6" w:themeFill="accent1" w:themeFillTint="33"/>
          </w:tcPr>
          <w:p w:rsidR="00527584" w:rsidRPr="000A3F70" w:rsidRDefault="00527584"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Provider name</w:t>
            </w:r>
          </w:p>
        </w:tc>
        <w:tc>
          <w:tcPr>
            <w:tcW w:w="5811" w:type="dxa"/>
          </w:tcPr>
          <w:p w:rsidR="00527584" w:rsidRPr="000A3F70" w:rsidRDefault="00F2355B" w:rsidP="001C0F0B">
            <w:pPr>
              <w:spacing w:after="0" w:line="240" w:lineRule="auto"/>
              <w:rPr>
                <w:rFonts w:ascii="Calibri" w:eastAsia="Times New Roman" w:hAnsi="Calibri" w:cs="Times New Roman"/>
                <w:szCs w:val="24"/>
                <w:lang w:val="en-GB"/>
              </w:rPr>
            </w:pPr>
            <w:r w:rsidRPr="000A3F70">
              <w:rPr>
                <w:rFonts w:ascii="Calibri" w:eastAsia="Times New Roman" w:hAnsi="Calibri" w:cs="Times New Roman"/>
                <w:szCs w:val="24"/>
                <w:lang w:val="en-GB"/>
              </w:rPr>
              <w:t>DBS</w:t>
            </w:r>
          </w:p>
        </w:tc>
      </w:tr>
      <w:tr w:rsidR="004B6E8E" w:rsidRPr="000A3F70" w:rsidTr="4B803086">
        <w:tc>
          <w:tcPr>
            <w:tcW w:w="3261" w:type="dxa"/>
            <w:shd w:val="clear" w:color="auto" w:fill="DEEAF6" w:themeFill="accent1" w:themeFillTint="33"/>
          </w:tcPr>
          <w:p w:rsidR="00527584" w:rsidRPr="000A3F70" w:rsidRDefault="00527584"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Date of site visit</w:t>
            </w:r>
          </w:p>
        </w:tc>
        <w:tc>
          <w:tcPr>
            <w:tcW w:w="5811" w:type="dxa"/>
          </w:tcPr>
          <w:p w:rsidR="00527584" w:rsidRPr="000A3F70" w:rsidRDefault="00F2355B"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12</w:t>
            </w:r>
            <w:r w:rsidRPr="000A3F70">
              <w:rPr>
                <w:rFonts w:ascii="Calibri" w:eastAsia="Times New Roman" w:hAnsi="Calibri" w:cs="Times New Roman"/>
                <w:vertAlign w:val="superscript"/>
                <w:lang w:val="en-GB"/>
              </w:rPr>
              <w:t>th</w:t>
            </w:r>
            <w:r w:rsidRPr="000A3F70">
              <w:rPr>
                <w:rFonts w:ascii="Calibri" w:eastAsia="Times New Roman" w:hAnsi="Calibri" w:cs="Times New Roman"/>
                <w:lang w:val="en-GB"/>
              </w:rPr>
              <w:t xml:space="preserve"> April 2018</w:t>
            </w:r>
          </w:p>
        </w:tc>
      </w:tr>
      <w:tr w:rsidR="004B6E8E" w:rsidRPr="000A3F70" w:rsidTr="4B803086">
        <w:tc>
          <w:tcPr>
            <w:tcW w:w="3261" w:type="dxa"/>
            <w:shd w:val="clear" w:color="auto" w:fill="DEEAF6" w:themeFill="accent1" w:themeFillTint="33"/>
          </w:tcPr>
          <w:p w:rsidR="00527584" w:rsidRPr="00FC10F8" w:rsidRDefault="00527584" w:rsidP="001C0F0B">
            <w:pPr>
              <w:spacing w:after="0" w:line="240" w:lineRule="auto"/>
              <w:rPr>
                <w:rFonts w:ascii="Calibri" w:eastAsia="Times New Roman" w:hAnsi="Calibri" w:cs="Times New Roman"/>
                <w:b/>
                <w:szCs w:val="24"/>
                <w:lang w:val="en-GB"/>
              </w:rPr>
            </w:pPr>
            <w:r w:rsidRPr="00FC10F8">
              <w:rPr>
                <w:rFonts w:ascii="Calibri" w:eastAsia="Times New Roman" w:hAnsi="Calibri" w:cs="Times New Roman"/>
                <w:b/>
                <w:szCs w:val="24"/>
                <w:lang w:val="en-GB"/>
              </w:rPr>
              <w:t>Date of report</w:t>
            </w:r>
          </w:p>
        </w:tc>
        <w:tc>
          <w:tcPr>
            <w:tcW w:w="5811" w:type="dxa"/>
          </w:tcPr>
          <w:p w:rsidR="00527584" w:rsidRPr="00FC10F8" w:rsidRDefault="00FC10F8" w:rsidP="001C0F0B">
            <w:pPr>
              <w:spacing w:after="0" w:line="240" w:lineRule="auto"/>
              <w:rPr>
                <w:rFonts w:ascii="Calibri" w:eastAsia="Times New Roman" w:hAnsi="Calibri" w:cs="Times New Roman"/>
                <w:szCs w:val="24"/>
                <w:lang w:val="en-GB"/>
              </w:rPr>
            </w:pPr>
            <w:r w:rsidRPr="00FC10F8">
              <w:rPr>
                <w:rFonts w:ascii="Calibri" w:eastAsia="Times New Roman" w:hAnsi="Calibri" w:cs="Times New Roman"/>
                <w:szCs w:val="24"/>
                <w:lang w:val="en-GB"/>
              </w:rPr>
              <w:t>4</w:t>
            </w:r>
            <w:r w:rsidRPr="00FC10F8">
              <w:rPr>
                <w:rFonts w:ascii="Calibri" w:eastAsia="Times New Roman" w:hAnsi="Calibri" w:cs="Times New Roman"/>
                <w:szCs w:val="24"/>
                <w:vertAlign w:val="superscript"/>
                <w:lang w:val="en-GB"/>
              </w:rPr>
              <w:t>th</w:t>
            </w:r>
            <w:r w:rsidRPr="00FC10F8">
              <w:rPr>
                <w:rFonts w:ascii="Calibri" w:eastAsia="Times New Roman" w:hAnsi="Calibri" w:cs="Times New Roman"/>
                <w:szCs w:val="24"/>
                <w:lang w:val="en-GB"/>
              </w:rPr>
              <w:t xml:space="preserve"> May 2018</w:t>
            </w:r>
          </w:p>
        </w:tc>
      </w:tr>
    </w:tbl>
    <w:p w:rsidR="00527584" w:rsidRPr="000A3F70" w:rsidRDefault="00527584" w:rsidP="00527584">
      <w:pPr>
        <w:spacing w:after="0" w:line="240" w:lineRule="auto"/>
        <w:rPr>
          <w:rFonts w:ascii="Calibri" w:eastAsia="Times New Roman" w:hAnsi="Calibri" w:cs="Times New Roman"/>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841"/>
        <w:gridCol w:w="5798"/>
      </w:tblGrid>
      <w:tr w:rsidR="004B6E8E" w:rsidRPr="000A3F70" w:rsidTr="4B803086">
        <w:tc>
          <w:tcPr>
            <w:tcW w:w="1433" w:type="dxa"/>
            <w:shd w:val="clear" w:color="auto" w:fill="DEEAF6" w:themeFill="accent1" w:themeFillTint="33"/>
          </w:tcPr>
          <w:p w:rsidR="00527584" w:rsidRPr="000A3F70" w:rsidRDefault="00527584"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Principal programme </w:t>
            </w:r>
          </w:p>
        </w:tc>
        <w:tc>
          <w:tcPr>
            <w:tcW w:w="1841" w:type="dxa"/>
            <w:shd w:val="clear" w:color="auto" w:fill="DEEAF6" w:themeFill="accent1" w:themeFillTint="33"/>
          </w:tcPr>
          <w:p w:rsidR="00527584" w:rsidRPr="000A3F70" w:rsidRDefault="00527584" w:rsidP="001C0F0B">
            <w:pPr>
              <w:spacing w:after="0" w:line="240" w:lineRule="auto"/>
              <w:rPr>
                <w:rFonts w:ascii="Calibri" w:eastAsia="Times New Roman" w:hAnsi="Calibri" w:cs="Arial"/>
              </w:rPr>
            </w:pPr>
            <w:r w:rsidRPr="000A3F70">
              <w:rPr>
                <w:rFonts w:ascii="Calibri" w:eastAsia="Times New Roman" w:hAnsi="Calibri" w:cs="Times New Roman"/>
                <w:b/>
                <w:szCs w:val="24"/>
                <w:lang w:val="en-GB"/>
              </w:rPr>
              <w:t>Title</w:t>
            </w:r>
          </w:p>
        </w:tc>
        <w:tc>
          <w:tcPr>
            <w:tcW w:w="5798" w:type="dxa"/>
            <w:shd w:val="clear" w:color="auto" w:fill="auto"/>
          </w:tcPr>
          <w:p w:rsidR="00527584" w:rsidRPr="000A3F70" w:rsidRDefault="00F2355B" w:rsidP="4B803086">
            <w:pPr>
              <w:spacing w:after="0" w:line="240" w:lineRule="auto"/>
              <w:rPr>
                <w:rFonts w:ascii="Calibri" w:eastAsia="Times New Roman" w:hAnsi="Calibri" w:cs="Arial"/>
              </w:rPr>
            </w:pPr>
            <w:r w:rsidRPr="000A3F70">
              <w:rPr>
                <w:rFonts w:ascii="Calibri" w:eastAsia="Times New Roman" w:hAnsi="Calibri" w:cs="Arial"/>
              </w:rPr>
              <w:t>Master of Arts in Addiction Studies</w:t>
            </w:r>
          </w:p>
        </w:tc>
      </w:tr>
      <w:tr w:rsidR="004B6E8E" w:rsidRPr="000A3F70" w:rsidTr="4B803086">
        <w:tc>
          <w:tcPr>
            <w:tcW w:w="1433" w:type="dxa"/>
            <w:shd w:val="clear" w:color="auto" w:fill="DEEAF6" w:themeFill="accent1" w:themeFillTint="33"/>
          </w:tcPr>
          <w:p w:rsidR="00527584" w:rsidRPr="000A3F70" w:rsidRDefault="00527584" w:rsidP="001C0F0B">
            <w:pPr>
              <w:spacing w:after="0" w:line="240" w:lineRule="auto"/>
              <w:rPr>
                <w:rFonts w:ascii="Calibri" w:eastAsia="Times New Roman" w:hAnsi="Calibri" w:cs="Times New Roman"/>
                <w:b/>
                <w:szCs w:val="24"/>
                <w:lang w:val="en-GB"/>
              </w:rPr>
            </w:pPr>
          </w:p>
        </w:tc>
        <w:tc>
          <w:tcPr>
            <w:tcW w:w="1841" w:type="dxa"/>
            <w:shd w:val="clear" w:color="auto" w:fill="DEEAF6" w:themeFill="accent1" w:themeFillTint="33"/>
          </w:tcPr>
          <w:p w:rsidR="00527584" w:rsidRPr="000A3F70" w:rsidRDefault="00527584" w:rsidP="001C0F0B">
            <w:pPr>
              <w:spacing w:after="0" w:line="240" w:lineRule="auto"/>
              <w:rPr>
                <w:rFonts w:ascii="Calibri" w:eastAsia="Times New Roman" w:hAnsi="Calibri" w:cs="Arial"/>
              </w:rPr>
            </w:pPr>
            <w:r w:rsidRPr="000A3F70">
              <w:rPr>
                <w:rFonts w:ascii="Calibri" w:eastAsia="Times New Roman" w:hAnsi="Calibri" w:cs="Times New Roman"/>
                <w:b/>
                <w:szCs w:val="24"/>
                <w:lang w:val="en-GB"/>
              </w:rPr>
              <w:t>Award</w:t>
            </w:r>
          </w:p>
        </w:tc>
        <w:tc>
          <w:tcPr>
            <w:tcW w:w="5798" w:type="dxa"/>
            <w:shd w:val="clear" w:color="auto" w:fill="auto"/>
          </w:tcPr>
          <w:p w:rsidR="00527584" w:rsidRPr="000A3F70" w:rsidRDefault="00F2355B" w:rsidP="4B803086">
            <w:pPr>
              <w:spacing w:after="0" w:line="240" w:lineRule="auto"/>
              <w:rPr>
                <w:rFonts w:ascii="Calibri" w:eastAsia="Times New Roman" w:hAnsi="Calibri" w:cs="Arial"/>
              </w:rPr>
            </w:pPr>
            <w:r w:rsidRPr="000A3F70">
              <w:rPr>
                <w:rFonts w:ascii="Calibri" w:eastAsia="Times New Roman" w:hAnsi="Calibri" w:cs="Arial"/>
              </w:rPr>
              <w:t>Master of Arts</w:t>
            </w:r>
          </w:p>
        </w:tc>
      </w:tr>
      <w:tr w:rsidR="004B6E8E" w:rsidRPr="000A3F70" w:rsidTr="4B803086">
        <w:tc>
          <w:tcPr>
            <w:tcW w:w="1433" w:type="dxa"/>
            <w:shd w:val="clear" w:color="auto" w:fill="DEEAF6" w:themeFill="accent1" w:themeFillTint="33"/>
          </w:tcPr>
          <w:p w:rsidR="00527584" w:rsidRPr="000A3F70" w:rsidRDefault="00527584" w:rsidP="001C0F0B">
            <w:pPr>
              <w:spacing w:after="0" w:line="240" w:lineRule="auto"/>
              <w:rPr>
                <w:rFonts w:ascii="Calibri" w:eastAsia="Times New Roman" w:hAnsi="Calibri" w:cs="Times New Roman"/>
                <w:b/>
                <w:szCs w:val="24"/>
                <w:lang w:val="en-GB"/>
              </w:rPr>
            </w:pPr>
          </w:p>
        </w:tc>
        <w:tc>
          <w:tcPr>
            <w:tcW w:w="1841" w:type="dxa"/>
            <w:shd w:val="clear" w:color="auto" w:fill="DEEAF6" w:themeFill="accent1" w:themeFillTint="33"/>
          </w:tcPr>
          <w:p w:rsidR="00527584" w:rsidRPr="000A3F70" w:rsidRDefault="00527584"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Credit</w:t>
            </w:r>
          </w:p>
        </w:tc>
        <w:tc>
          <w:tcPr>
            <w:tcW w:w="5798" w:type="dxa"/>
            <w:shd w:val="clear" w:color="auto" w:fill="auto"/>
          </w:tcPr>
          <w:p w:rsidR="00527584" w:rsidRPr="000A3F70" w:rsidRDefault="00E06088" w:rsidP="4B803086">
            <w:pPr>
              <w:spacing w:after="0" w:line="240" w:lineRule="auto"/>
              <w:rPr>
                <w:rFonts w:ascii="Calibri" w:eastAsia="Times New Roman" w:hAnsi="Calibri" w:cs="Arial"/>
              </w:rPr>
            </w:pPr>
            <w:r w:rsidRPr="000A3F70">
              <w:rPr>
                <w:rFonts w:ascii="Calibri" w:eastAsia="Times New Roman" w:hAnsi="Calibri" w:cs="Arial"/>
              </w:rPr>
              <w:t xml:space="preserve">90 </w:t>
            </w:r>
            <w:r w:rsidR="008C7270" w:rsidRPr="000A3F70">
              <w:rPr>
                <w:rFonts w:ascii="Calibri" w:eastAsia="Times New Roman" w:hAnsi="Calibri" w:cs="Arial"/>
              </w:rPr>
              <w:t xml:space="preserve"> ECTS</w:t>
            </w:r>
          </w:p>
        </w:tc>
      </w:tr>
      <w:tr w:rsidR="004B6E8E" w:rsidRPr="000A3F70" w:rsidTr="4B803086">
        <w:tc>
          <w:tcPr>
            <w:tcW w:w="1433" w:type="dxa"/>
            <w:tcBorders>
              <w:bottom w:val="single" w:sz="4" w:space="0" w:color="auto"/>
            </w:tcBorders>
            <w:shd w:val="clear" w:color="auto" w:fill="DEEAF6" w:themeFill="accent1" w:themeFillTint="33"/>
          </w:tcPr>
          <w:p w:rsidR="00527584" w:rsidRPr="000A3F70" w:rsidRDefault="00527584" w:rsidP="001C0F0B">
            <w:pPr>
              <w:spacing w:after="0" w:line="240" w:lineRule="auto"/>
              <w:rPr>
                <w:rFonts w:ascii="Calibri" w:eastAsia="Times New Roman" w:hAnsi="Calibri" w:cs="Times New Roman"/>
                <w:b/>
                <w:szCs w:val="24"/>
                <w:lang w:val="en-GB"/>
              </w:rPr>
            </w:pPr>
          </w:p>
        </w:tc>
        <w:tc>
          <w:tcPr>
            <w:tcW w:w="1841" w:type="dxa"/>
            <w:tcBorders>
              <w:bottom w:val="single" w:sz="4" w:space="0" w:color="auto"/>
            </w:tcBorders>
            <w:shd w:val="clear" w:color="auto" w:fill="DEEAF6" w:themeFill="accent1" w:themeFillTint="33"/>
          </w:tcPr>
          <w:p w:rsidR="00527584" w:rsidRPr="000A3F70" w:rsidRDefault="00527584"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Duration</w:t>
            </w:r>
            <w:r w:rsidRPr="000A3F70">
              <w:rPr>
                <w:rStyle w:val="FootnoteReference"/>
                <w:rFonts w:ascii="Calibri" w:eastAsia="Times New Roman" w:hAnsi="Calibri" w:cs="Times New Roman"/>
                <w:b/>
                <w:szCs w:val="24"/>
                <w:lang w:val="en-GB"/>
              </w:rPr>
              <w:footnoteReference w:id="1"/>
            </w:r>
            <w:r w:rsidRPr="000A3F70">
              <w:rPr>
                <w:rFonts w:ascii="Calibri" w:eastAsia="Times New Roman" w:hAnsi="Calibri" w:cs="Times New Roman"/>
                <w:b/>
                <w:szCs w:val="24"/>
                <w:lang w:val="en-GB"/>
              </w:rPr>
              <w:t xml:space="preserve"> </w:t>
            </w:r>
          </w:p>
          <w:p w:rsidR="00527584" w:rsidRPr="000A3F70" w:rsidRDefault="00527584"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i/>
                <w:sz w:val="16"/>
                <w:szCs w:val="16"/>
                <w:lang w:val="en-GB"/>
              </w:rPr>
              <w:t>(years, months, weeks)</w:t>
            </w:r>
          </w:p>
        </w:tc>
        <w:tc>
          <w:tcPr>
            <w:tcW w:w="5798" w:type="dxa"/>
            <w:tcBorders>
              <w:bottom w:val="single" w:sz="4" w:space="0" w:color="auto"/>
            </w:tcBorders>
            <w:shd w:val="clear" w:color="auto" w:fill="auto"/>
          </w:tcPr>
          <w:p w:rsidR="00527584" w:rsidRPr="000A3F70" w:rsidRDefault="008C7270" w:rsidP="4B803086">
            <w:pPr>
              <w:spacing w:after="0" w:line="240" w:lineRule="auto"/>
              <w:rPr>
                <w:rFonts w:ascii="Calibri" w:eastAsia="Times New Roman" w:hAnsi="Calibri" w:cs="Arial"/>
              </w:rPr>
            </w:pPr>
            <w:r w:rsidRPr="000A3F70">
              <w:rPr>
                <w:rFonts w:ascii="Calibri" w:eastAsia="Times New Roman" w:hAnsi="Calibri" w:cs="Arial"/>
              </w:rPr>
              <w:t>1 year (3 semesters) full time;2 years (5 semesters) part-time</w:t>
            </w:r>
          </w:p>
        </w:tc>
      </w:tr>
    </w:tbl>
    <w:p w:rsidR="006F0ACA" w:rsidRPr="000A3F70" w:rsidRDefault="006F0ACA" w:rsidP="006F0AC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841"/>
        <w:gridCol w:w="5798"/>
      </w:tblGrid>
      <w:tr w:rsidR="006F0ACA" w:rsidRPr="000A3F70" w:rsidTr="00FA215E">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0ACA" w:rsidRPr="000A3F70" w:rsidRDefault="006F0ACA" w:rsidP="00FA215E">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Embedded programme </w:t>
            </w: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0ACA" w:rsidRPr="000A3F70" w:rsidRDefault="006F0ACA" w:rsidP="00FA215E">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Title</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6F0ACA" w:rsidRPr="000A3F70" w:rsidRDefault="006F0ACA" w:rsidP="00FA215E">
            <w:pPr>
              <w:spacing w:after="0" w:line="240" w:lineRule="auto"/>
              <w:rPr>
                <w:rFonts w:ascii="Calibri" w:eastAsia="Times New Roman" w:hAnsi="Calibri" w:cs="Arial"/>
              </w:rPr>
            </w:pPr>
            <w:r w:rsidRPr="000A3F70">
              <w:rPr>
                <w:rFonts w:ascii="Calibri" w:eastAsia="Times New Roman" w:hAnsi="Calibri" w:cs="Arial"/>
              </w:rPr>
              <w:t>Postgraduate Diploma in Arts in Addiction Studies</w:t>
            </w:r>
          </w:p>
        </w:tc>
      </w:tr>
      <w:tr w:rsidR="006F0ACA" w:rsidRPr="000A3F70" w:rsidTr="00FA215E">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0ACA" w:rsidRPr="000A3F70" w:rsidRDefault="006F0ACA" w:rsidP="00FA215E">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0ACA" w:rsidRPr="000A3F70" w:rsidRDefault="006F0ACA" w:rsidP="00FA215E">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Award</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6F0ACA" w:rsidRPr="000A3F70" w:rsidRDefault="006F0ACA" w:rsidP="00FA215E">
            <w:pPr>
              <w:spacing w:after="0" w:line="240" w:lineRule="auto"/>
              <w:rPr>
                <w:rFonts w:ascii="Calibri" w:eastAsia="Times New Roman" w:hAnsi="Calibri" w:cs="Arial"/>
              </w:rPr>
            </w:pPr>
            <w:r w:rsidRPr="000A3F70">
              <w:rPr>
                <w:rFonts w:ascii="Calibri" w:eastAsia="Times New Roman" w:hAnsi="Calibri" w:cs="Arial"/>
              </w:rPr>
              <w:t>Postgraduate Diploma in Arts</w:t>
            </w:r>
          </w:p>
        </w:tc>
      </w:tr>
      <w:tr w:rsidR="006F0ACA" w:rsidRPr="000A3F70" w:rsidTr="00FA215E">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0ACA" w:rsidRPr="000A3F70" w:rsidRDefault="006F0ACA" w:rsidP="00FA215E">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0ACA" w:rsidRPr="000A3F70" w:rsidRDefault="006F0ACA" w:rsidP="00FA215E">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Credit</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6F0ACA" w:rsidRPr="000A3F70" w:rsidRDefault="006F0ACA" w:rsidP="00FA215E">
            <w:pPr>
              <w:spacing w:after="0" w:line="240" w:lineRule="auto"/>
              <w:rPr>
                <w:rFonts w:ascii="Calibri" w:eastAsia="Times New Roman" w:hAnsi="Calibri" w:cs="Arial"/>
              </w:rPr>
            </w:pPr>
            <w:r w:rsidRPr="000A3F70">
              <w:rPr>
                <w:rFonts w:ascii="Calibri" w:eastAsia="Times New Roman" w:hAnsi="Calibri" w:cs="Arial"/>
              </w:rPr>
              <w:t>6</w:t>
            </w:r>
            <w:r w:rsidR="00E06088" w:rsidRPr="000A3F70">
              <w:rPr>
                <w:rFonts w:ascii="Calibri" w:eastAsia="Times New Roman" w:hAnsi="Calibri" w:cs="Arial"/>
              </w:rPr>
              <w:t>0 EC</w:t>
            </w:r>
            <w:r w:rsidRPr="000A3F70">
              <w:rPr>
                <w:rFonts w:ascii="Calibri" w:eastAsia="Times New Roman" w:hAnsi="Calibri" w:cs="Arial"/>
              </w:rPr>
              <w:t>TS</w:t>
            </w:r>
          </w:p>
        </w:tc>
      </w:tr>
      <w:tr w:rsidR="006F0ACA" w:rsidRPr="000A3F70" w:rsidTr="00FA215E">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0ACA" w:rsidRPr="000A3F70" w:rsidRDefault="006F0ACA" w:rsidP="00FA215E">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F0ACA" w:rsidRPr="000A3F70" w:rsidRDefault="006F0ACA" w:rsidP="00FA215E">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Duration</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6F0ACA" w:rsidRPr="000A3F70" w:rsidRDefault="006F0ACA" w:rsidP="00FA215E">
            <w:pPr>
              <w:spacing w:after="0" w:line="240" w:lineRule="auto"/>
              <w:rPr>
                <w:rFonts w:ascii="Calibri" w:eastAsia="Times New Roman" w:hAnsi="Calibri" w:cs="Arial"/>
              </w:rPr>
            </w:pPr>
            <w:r w:rsidRPr="000A3F70">
              <w:rPr>
                <w:rFonts w:ascii="Calibri" w:eastAsia="Times New Roman" w:hAnsi="Calibri" w:cs="Arial"/>
              </w:rPr>
              <w:t>3 semesters full-time; 5 semesters part-time</w:t>
            </w:r>
          </w:p>
        </w:tc>
      </w:tr>
    </w:tbl>
    <w:p w:rsidR="006F0ACA" w:rsidRPr="000A3F70" w:rsidRDefault="006F0ACA" w:rsidP="006F0AC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2355B" w:rsidRPr="000A3F70" w:rsidTr="00F2355B">
        <w:tc>
          <w:tcPr>
            <w:tcW w:w="3261" w:type="dxa"/>
            <w:shd w:val="clear" w:color="auto" w:fill="DEEAF6" w:themeFill="accent1" w:themeFillTint="33"/>
          </w:tcPr>
          <w:p w:rsidR="00F2355B" w:rsidRPr="000A3F70" w:rsidRDefault="00F2355B" w:rsidP="00F2355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Provider name</w:t>
            </w:r>
          </w:p>
        </w:tc>
        <w:tc>
          <w:tcPr>
            <w:tcW w:w="5811" w:type="dxa"/>
          </w:tcPr>
          <w:p w:rsidR="00F2355B" w:rsidRPr="000A3F70" w:rsidRDefault="00F2355B" w:rsidP="00F2355B">
            <w:pPr>
              <w:spacing w:after="0" w:line="240" w:lineRule="auto"/>
              <w:rPr>
                <w:rFonts w:ascii="Calibri" w:eastAsia="Times New Roman" w:hAnsi="Calibri" w:cs="Times New Roman"/>
                <w:szCs w:val="24"/>
                <w:lang w:val="en-GB"/>
              </w:rPr>
            </w:pPr>
            <w:r w:rsidRPr="000A3F70">
              <w:rPr>
                <w:rFonts w:ascii="Calibri" w:eastAsia="Times New Roman" w:hAnsi="Calibri" w:cs="Times New Roman"/>
                <w:szCs w:val="24"/>
                <w:lang w:val="en-GB"/>
              </w:rPr>
              <w:t>DBS</w:t>
            </w:r>
          </w:p>
        </w:tc>
      </w:tr>
      <w:tr w:rsidR="00F2355B" w:rsidRPr="000A3F70" w:rsidTr="00F2355B">
        <w:tc>
          <w:tcPr>
            <w:tcW w:w="3261" w:type="dxa"/>
            <w:shd w:val="clear" w:color="auto" w:fill="DEEAF6" w:themeFill="accent1" w:themeFillTint="33"/>
          </w:tcPr>
          <w:p w:rsidR="00F2355B" w:rsidRPr="000A3F70" w:rsidRDefault="00F2355B" w:rsidP="00F2355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Date of site visit</w:t>
            </w:r>
          </w:p>
        </w:tc>
        <w:tc>
          <w:tcPr>
            <w:tcW w:w="5811" w:type="dxa"/>
          </w:tcPr>
          <w:p w:rsidR="00F2355B" w:rsidRPr="000A3F70" w:rsidRDefault="00F2355B" w:rsidP="00F2355B">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12</w:t>
            </w:r>
            <w:r w:rsidRPr="000A3F70">
              <w:rPr>
                <w:rFonts w:ascii="Calibri" w:eastAsia="Times New Roman" w:hAnsi="Calibri" w:cs="Times New Roman"/>
                <w:vertAlign w:val="superscript"/>
                <w:lang w:val="en-GB"/>
              </w:rPr>
              <w:t>th</w:t>
            </w:r>
            <w:r w:rsidRPr="000A3F70">
              <w:rPr>
                <w:rFonts w:ascii="Calibri" w:eastAsia="Times New Roman" w:hAnsi="Calibri" w:cs="Times New Roman"/>
                <w:lang w:val="en-GB"/>
              </w:rPr>
              <w:t xml:space="preserve"> April 2018</w:t>
            </w:r>
          </w:p>
        </w:tc>
      </w:tr>
      <w:tr w:rsidR="00F2355B" w:rsidRPr="000A3F70" w:rsidTr="00F2355B">
        <w:tc>
          <w:tcPr>
            <w:tcW w:w="3261" w:type="dxa"/>
            <w:shd w:val="clear" w:color="auto" w:fill="DEEAF6" w:themeFill="accent1" w:themeFillTint="33"/>
          </w:tcPr>
          <w:p w:rsidR="00F2355B" w:rsidRPr="000A3F70" w:rsidRDefault="00F2355B" w:rsidP="00F2355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Date of report</w:t>
            </w:r>
          </w:p>
        </w:tc>
        <w:tc>
          <w:tcPr>
            <w:tcW w:w="5811" w:type="dxa"/>
          </w:tcPr>
          <w:p w:rsidR="00F2355B" w:rsidRPr="000A3F70" w:rsidRDefault="00F2355B" w:rsidP="00F2355B">
            <w:pPr>
              <w:spacing w:after="0" w:line="240" w:lineRule="auto"/>
              <w:rPr>
                <w:rFonts w:ascii="Calibri" w:eastAsia="Times New Roman" w:hAnsi="Calibri" w:cs="Times New Roman"/>
                <w:szCs w:val="24"/>
                <w:lang w:val="en-GB"/>
              </w:rPr>
            </w:pPr>
          </w:p>
        </w:tc>
      </w:tr>
    </w:tbl>
    <w:p w:rsidR="00F2355B" w:rsidRPr="000A3F70" w:rsidRDefault="00F2355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841"/>
        <w:gridCol w:w="5798"/>
      </w:tblGrid>
      <w:tr w:rsidR="00F2355B" w:rsidRPr="000A3F70" w:rsidTr="00F2355B">
        <w:tc>
          <w:tcPr>
            <w:tcW w:w="1433" w:type="dxa"/>
            <w:shd w:val="clear" w:color="auto" w:fill="DEEAF6" w:themeFill="accent1" w:themeFillTint="33"/>
          </w:tcPr>
          <w:p w:rsidR="00F2355B" w:rsidRPr="000A3F70" w:rsidRDefault="00F2355B" w:rsidP="00F2355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Principal programme </w:t>
            </w:r>
          </w:p>
        </w:tc>
        <w:tc>
          <w:tcPr>
            <w:tcW w:w="1841" w:type="dxa"/>
            <w:shd w:val="clear" w:color="auto" w:fill="DEEAF6" w:themeFill="accent1" w:themeFillTint="33"/>
          </w:tcPr>
          <w:p w:rsidR="00F2355B" w:rsidRPr="000A3F70" w:rsidRDefault="00F2355B" w:rsidP="00F2355B">
            <w:pPr>
              <w:spacing w:after="0" w:line="240" w:lineRule="auto"/>
              <w:rPr>
                <w:rFonts w:ascii="Calibri" w:eastAsia="Times New Roman" w:hAnsi="Calibri" w:cs="Arial"/>
              </w:rPr>
            </w:pPr>
            <w:r w:rsidRPr="000A3F70">
              <w:rPr>
                <w:rFonts w:ascii="Calibri" w:eastAsia="Times New Roman" w:hAnsi="Calibri" w:cs="Times New Roman"/>
                <w:b/>
                <w:szCs w:val="24"/>
                <w:lang w:val="en-GB"/>
              </w:rPr>
              <w:t>Title</w:t>
            </w:r>
          </w:p>
        </w:tc>
        <w:tc>
          <w:tcPr>
            <w:tcW w:w="5798" w:type="dxa"/>
            <w:shd w:val="clear" w:color="auto" w:fill="auto"/>
          </w:tcPr>
          <w:p w:rsidR="00F2355B" w:rsidRPr="000A3F70" w:rsidRDefault="006F0ACA" w:rsidP="00F2355B">
            <w:pPr>
              <w:spacing w:after="0" w:line="240" w:lineRule="auto"/>
              <w:rPr>
                <w:rFonts w:ascii="Calibri" w:eastAsia="Times New Roman" w:hAnsi="Calibri" w:cs="Arial"/>
              </w:rPr>
            </w:pPr>
            <w:r w:rsidRPr="000A3F70">
              <w:rPr>
                <w:rFonts w:ascii="Calibri" w:eastAsia="Times New Roman" w:hAnsi="Calibri" w:cs="Arial"/>
              </w:rPr>
              <w:t>MA in Psychoanalytic Psychotherapy</w:t>
            </w:r>
          </w:p>
        </w:tc>
      </w:tr>
      <w:tr w:rsidR="00F2355B" w:rsidRPr="000A3F70" w:rsidTr="00F2355B">
        <w:tc>
          <w:tcPr>
            <w:tcW w:w="1433" w:type="dxa"/>
            <w:shd w:val="clear" w:color="auto" w:fill="DEEAF6" w:themeFill="accent1" w:themeFillTint="33"/>
          </w:tcPr>
          <w:p w:rsidR="00F2355B" w:rsidRPr="000A3F70" w:rsidRDefault="00F2355B" w:rsidP="00F2355B">
            <w:pPr>
              <w:spacing w:after="0" w:line="240" w:lineRule="auto"/>
              <w:rPr>
                <w:rFonts w:ascii="Calibri" w:eastAsia="Times New Roman" w:hAnsi="Calibri" w:cs="Times New Roman"/>
                <w:b/>
                <w:szCs w:val="24"/>
                <w:lang w:val="en-GB"/>
              </w:rPr>
            </w:pPr>
          </w:p>
        </w:tc>
        <w:tc>
          <w:tcPr>
            <w:tcW w:w="1841" w:type="dxa"/>
            <w:shd w:val="clear" w:color="auto" w:fill="DEEAF6" w:themeFill="accent1" w:themeFillTint="33"/>
          </w:tcPr>
          <w:p w:rsidR="00F2355B" w:rsidRPr="000A3F70" w:rsidRDefault="00F2355B" w:rsidP="00F2355B">
            <w:pPr>
              <w:spacing w:after="0" w:line="240" w:lineRule="auto"/>
              <w:rPr>
                <w:rFonts w:ascii="Calibri" w:eastAsia="Times New Roman" w:hAnsi="Calibri" w:cs="Arial"/>
              </w:rPr>
            </w:pPr>
            <w:r w:rsidRPr="000A3F70">
              <w:rPr>
                <w:rFonts w:ascii="Calibri" w:eastAsia="Times New Roman" w:hAnsi="Calibri" w:cs="Times New Roman"/>
                <w:b/>
                <w:szCs w:val="24"/>
                <w:lang w:val="en-GB"/>
              </w:rPr>
              <w:t>Award</w:t>
            </w:r>
          </w:p>
        </w:tc>
        <w:tc>
          <w:tcPr>
            <w:tcW w:w="5798" w:type="dxa"/>
            <w:shd w:val="clear" w:color="auto" w:fill="auto"/>
          </w:tcPr>
          <w:p w:rsidR="00F2355B" w:rsidRPr="000A3F70" w:rsidRDefault="006F0ACA" w:rsidP="00F2355B">
            <w:pPr>
              <w:spacing w:after="0" w:line="240" w:lineRule="auto"/>
              <w:rPr>
                <w:rFonts w:ascii="Calibri" w:eastAsia="Times New Roman" w:hAnsi="Calibri" w:cs="Arial"/>
              </w:rPr>
            </w:pPr>
            <w:r w:rsidRPr="000A3F70">
              <w:rPr>
                <w:rFonts w:ascii="Calibri" w:eastAsia="Times New Roman" w:hAnsi="Calibri" w:cs="Arial"/>
              </w:rPr>
              <w:t>Master of Arts</w:t>
            </w:r>
          </w:p>
        </w:tc>
      </w:tr>
      <w:tr w:rsidR="00F2355B" w:rsidRPr="000A3F70" w:rsidTr="00F2355B">
        <w:tc>
          <w:tcPr>
            <w:tcW w:w="1433" w:type="dxa"/>
            <w:shd w:val="clear" w:color="auto" w:fill="DEEAF6" w:themeFill="accent1" w:themeFillTint="33"/>
          </w:tcPr>
          <w:p w:rsidR="00F2355B" w:rsidRPr="000A3F70" w:rsidRDefault="00F2355B" w:rsidP="00F2355B">
            <w:pPr>
              <w:spacing w:after="0" w:line="240" w:lineRule="auto"/>
              <w:rPr>
                <w:rFonts w:ascii="Calibri" w:eastAsia="Times New Roman" w:hAnsi="Calibri" w:cs="Times New Roman"/>
                <w:b/>
                <w:szCs w:val="24"/>
                <w:lang w:val="en-GB"/>
              </w:rPr>
            </w:pPr>
          </w:p>
        </w:tc>
        <w:tc>
          <w:tcPr>
            <w:tcW w:w="1841" w:type="dxa"/>
            <w:shd w:val="clear" w:color="auto" w:fill="DEEAF6" w:themeFill="accent1" w:themeFillTint="33"/>
          </w:tcPr>
          <w:p w:rsidR="00F2355B" w:rsidRPr="000A3F70" w:rsidRDefault="00F2355B" w:rsidP="00F2355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Credit</w:t>
            </w:r>
          </w:p>
        </w:tc>
        <w:tc>
          <w:tcPr>
            <w:tcW w:w="5798" w:type="dxa"/>
            <w:shd w:val="clear" w:color="auto" w:fill="auto"/>
          </w:tcPr>
          <w:p w:rsidR="00F2355B" w:rsidRPr="000A3F70" w:rsidRDefault="006F0ACA" w:rsidP="00F2355B">
            <w:pPr>
              <w:spacing w:after="0" w:line="240" w:lineRule="auto"/>
              <w:rPr>
                <w:rFonts w:ascii="Calibri" w:eastAsia="Times New Roman" w:hAnsi="Calibri" w:cs="Arial"/>
              </w:rPr>
            </w:pPr>
            <w:r w:rsidRPr="000A3F70">
              <w:rPr>
                <w:rFonts w:ascii="Calibri" w:eastAsia="Times New Roman" w:hAnsi="Calibri" w:cs="Arial"/>
              </w:rPr>
              <w:t>120 ECTS</w:t>
            </w:r>
          </w:p>
        </w:tc>
      </w:tr>
      <w:tr w:rsidR="00F2355B" w:rsidRPr="000A3F70" w:rsidTr="00F2355B">
        <w:tc>
          <w:tcPr>
            <w:tcW w:w="1433" w:type="dxa"/>
            <w:tcBorders>
              <w:bottom w:val="single" w:sz="4" w:space="0" w:color="auto"/>
            </w:tcBorders>
            <w:shd w:val="clear" w:color="auto" w:fill="DEEAF6" w:themeFill="accent1" w:themeFillTint="33"/>
          </w:tcPr>
          <w:p w:rsidR="00F2355B" w:rsidRPr="000A3F70" w:rsidRDefault="00F2355B" w:rsidP="00F2355B">
            <w:pPr>
              <w:spacing w:after="0" w:line="240" w:lineRule="auto"/>
              <w:rPr>
                <w:rFonts w:ascii="Calibri" w:eastAsia="Times New Roman" w:hAnsi="Calibri" w:cs="Times New Roman"/>
                <w:b/>
                <w:szCs w:val="24"/>
                <w:lang w:val="en-GB"/>
              </w:rPr>
            </w:pPr>
          </w:p>
        </w:tc>
        <w:tc>
          <w:tcPr>
            <w:tcW w:w="1841" w:type="dxa"/>
            <w:tcBorders>
              <w:bottom w:val="single" w:sz="4" w:space="0" w:color="auto"/>
            </w:tcBorders>
            <w:shd w:val="clear" w:color="auto" w:fill="DEEAF6" w:themeFill="accent1" w:themeFillTint="33"/>
          </w:tcPr>
          <w:p w:rsidR="00F2355B" w:rsidRPr="000A3F70" w:rsidRDefault="00F2355B" w:rsidP="00F2355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Duration</w:t>
            </w:r>
            <w:r w:rsidRPr="000A3F70">
              <w:rPr>
                <w:rStyle w:val="FootnoteReference"/>
                <w:rFonts w:ascii="Calibri" w:eastAsia="Times New Roman" w:hAnsi="Calibri" w:cs="Times New Roman"/>
                <w:b/>
                <w:szCs w:val="24"/>
                <w:lang w:val="en-GB"/>
              </w:rPr>
              <w:footnoteReference w:id="2"/>
            </w:r>
            <w:r w:rsidRPr="000A3F70">
              <w:rPr>
                <w:rFonts w:ascii="Calibri" w:eastAsia="Times New Roman" w:hAnsi="Calibri" w:cs="Times New Roman"/>
                <w:b/>
                <w:szCs w:val="24"/>
                <w:lang w:val="en-GB"/>
              </w:rPr>
              <w:t xml:space="preserve"> </w:t>
            </w:r>
          </w:p>
          <w:p w:rsidR="00F2355B" w:rsidRPr="000A3F70" w:rsidRDefault="00F2355B" w:rsidP="00F2355B">
            <w:pPr>
              <w:spacing w:after="0" w:line="240" w:lineRule="auto"/>
              <w:rPr>
                <w:rFonts w:ascii="Calibri" w:eastAsia="Times New Roman" w:hAnsi="Calibri" w:cs="Times New Roman"/>
                <w:b/>
                <w:szCs w:val="24"/>
                <w:lang w:val="en-GB"/>
              </w:rPr>
            </w:pPr>
            <w:r w:rsidRPr="000A3F70">
              <w:rPr>
                <w:rFonts w:ascii="Calibri" w:eastAsia="Times New Roman" w:hAnsi="Calibri" w:cs="Times New Roman"/>
                <w:i/>
                <w:sz w:val="16"/>
                <w:szCs w:val="16"/>
                <w:lang w:val="en-GB"/>
              </w:rPr>
              <w:t>(years, months, weeks)</w:t>
            </w:r>
          </w:p>
        </w:tc>
        <w:tc>
          <w:tcPr>
            <w:tcW w:w="5798" w:type="dxa"/>
            <w:tcBorders>
              <w:bottom w:val="single" w:sz="4" w:space="0" w:color="auto"/>
            </w:tcBorders>
            <w:shd w:val="clear" w:color="auto" w:fill="auto"/>
          </w:tcPr>
          <w:p w:rsidR="00F2355B" w:rsidRPr="000A3F70" w:rsidRDefault="006F0ACA" w:rsidP="00F2355B">
            <w:pPr>
              <w:spacing w:after="0" w:line="240" w:lineRule="auto"/>
              <w:rPr>
                <w:rFonts w:ascii="Calibri" w:eastAsia="Times New Roman" w:hAnsi="Calibri" w:cs="Arial"/>
              </w:rPr>
            </w:pPr>
            <w:r w:rsidRPr="000A3F70">
              <w:rPr>
                <w:rFonts w:ascii="Calibri" w:eastAsia="Times New Roman" w:hAnsi="Calibri" w:cs="Arial"/>
              </w:rPr>
              <w:t>3 years (6 semesters) part-time</w:t>
            </w:r>
          </w:p>
        </w:tc>
      </w:tr>
    </w:tbl>
    <w:p w:rsidR="00472A27" w:rsidRPr="000A3F70" w:rsidRDefault="00472A27">
      <w:r w:rsidRPr="000A3F70">
        <w:br w:type="page"/>
      </w:r>
    </w:p>
    <w:p w:rsidR="004B6E8E" w:rsidRPr="000A3F70" w:rsidRDefault="004B6E8E">
      <w:pPr>
        <w:pStyle w:val="TOC1"/>
        <w:tabs>
          <w:tab w:val="left" w:pos="440"/>
          <w:tab w:val="right" w:leader="dot" w:pos="9016"/>
        </w:tabs>
      </w:pPr>
    </w:p>
    <w:p w:rsidR="00875D01" w:rsidRDefault="002B636C">
      <w:pPr>
        <w:pStyle w:val="TOC1"/>
        <w:tabs>
          <w:tab w:val="left" w:pos="440"/>
          <w:tab w:val="right" w:leader="dot" w:pos="9016"/>
        </w:tabs>
        <w:rPr>
          <w:rFonts w:eastAsiaTheme="minorEastAsia"/>
          <w:noProof/>
          <w:lang w:val="en-GB" w:eastAsia="en-GB"/>
        </w:rPr>
      </w:pPr>
      <w:r w:rsidRPr="000A3F70">
        <w:fldChar w:fldCharType="begin"/>
      </w:r>
      <w:r w:rsidR="008F0EA6" w:rsidRPr="000A3F70">
        <w:instrText xml:space="preserve"> TOC \o "1-2" \h \z \u </w:instrText>
      </w:r>
      <w:r w:rsidRPr="000A3F70">
        <w:fldChar w:fldCharType="separate"/>
      </w:r>
      <w:hyperlink w:anchor="_Toc513221573" w:history="1">
        <w:r w:rsidR="00875D01" w:rsidRPr="0013588F">
          <w:rPr>
            <w:rStyle w:val="Hyperlink"/>
            <w:noProof/>
          </w:rPr>
          <w:t>1</w:t>
        </w:r>
        <w:r w:rsidR="00875D01">
          <w:rPr>
            <w:rFonts w:eastAsiaTheme="minorEastAsia"/>
            <w:noProof/>
            <w:lang w:val="en-GB" w:eastAsia="en-GB"/>
          </w:rPr>
          <w:tab/>
        </w:r>
        <w:r w:rsidR="00875D01" w:rsidRPr="0013588F">
          <w:rPr>
            <w:rStyle w:val="Hyperlink"/>
            <w:noProof/>
          </w:rPr>
          <w:t>Introduction</w:t>
        </w:r>
        <w:r w:rsidR="00875D01">
          <w:rPr>
            <w:noProof/>
            <w:webHidden/>
          </w:rPr>
          <w:tab/>
        </w:r>
        <w:r w:rsidR="00875D01">
          <w:rPr>
            <w:noProof/>
            <w:webHidden/>
          </w:rPr>
          <w:fldChar w:fldCharType="begin"/>
        </w:r>
        <w:r w:rsidR="00875D01">
          <w:rPr>
            <w:noProof/>
            <w:webHidden/>
          </w:rPr>
          <w:instrText xml:space="preserve"> PAGEREF _Toc513221573 \h </w:instrText>
        </w:r>
        <w:r w:rsidR="00875D01">
          <w:rPr>
            <w:noProof/>
            <w:webHidden/>
          </w:rPr>
        </w:r>
        <w:r w:rsidR="00875D01">
          <w:rPr>
            <w:noProof/>
            <w:webHidden/>
          </w:rPr>
          <w:fldChar w:fldCharType="separate"/>
        </w:r>
        <w:r w:rsidR="00875D01">
          <w:rPr>
            <w:noProof/>
            <w:webHidden/>
          </w:rPr>
          <w:t>4</w:t>
        </w:r>
        <w:r w:rsidR="00875D01">
          <w:rPr>
            <w:noProof/>
            <w:webHidden/>
          </w:rPr>
          <w:fldChar w:fldCharType="end"/>
        </w:r>
      </w:hyperlink>
    </w:p>
    <w:p w:rsidR="00875D01" w:rsidRDefault="009B18CC">
      <w:pPr>
        <w:pStyle w:val="TOC1"/>
        <w:tabs>
          <w:tab w:val="left" w:pos="440"/>
          <w:tab w:val="right" w:leader="dot" w:pos="9016"/>
        </w:tabs>
        <w:rPr>
          <w:rFonts w:eastAsiaTheme="minorEastAsia"/>
          <w:noProof/>
          <w:lang w:val="en-GB" w:eastAsia="en-GB"/>
        </w:rPr>
      </w:pPr>
      <w:hyperlink w:anchor="_Toc513221574" w:history="1">
        <w:r w:rsidR="00875D01" w:rsidRPr="0013588F">
          <w:rPr>
            <w:rStyle w:val="Hyperlink"/>
            <w:rFonts w:asciiTheme="majorHAnsi" w:hAnsiTheme="majorHAnsi"/>
            <w:noProof/>
          </w:rPr>
          <w:t>2</w:t>
        </w:r>
        <w:r w:rsidR="00875D01">
          <w:rPr>
            <w:rFonts w:eastAsiaTheme="minorEastAsia"/>
            <w:noProof/>
            <w:lang w:val="en-GB" w:eastAsia="en-GB"/>
          </w:rPr>
          <w:tab/>
        </w:r>
        <w:r w:rsidR="00875D01" w:rsidRPr="0013588F">
          <w:rPr>
            <w:rStyle w:val="Hyperlink"/>
            <w:noProof/>
          </w:rPr>
          <w:t>Independent Review Process</w:t>
        </w:r>
        <w:r w:rsidR="00875D01">
          <w:rPr>
            <w:noProof/>
            <w:webHidden/>
          </w:rPr>
          <w:tab/>
        </w:r>
        <w:r w:rsidR="00875D01">
          <w:rPr>
            <w:noProof/>
            <w:webHidden/>
          </w:rPr>
          <w:fldChar w:fldCharType="begin"/>
        </w:r>
        <w:r w:rsidR="00875D01">
          <w:rPr>
            <w:noProof/>
            <w:webHidden/>
          </w:rPr>
          <w:instrText xml:space="preserve"> PAGEREF _Toc513221574 \h </w:instrText>
        </w:r>
        <w:r w:rsidR="00875D01">
          <w:rPr>
            <w:noProof/>
            <w:webHidden/>
          </w:rPr>
        </w:r>
        <w:r w:rsidR="00875D01">
          <w:rPr>
            <w:noProof/>
            <w:webHidden/>
          </w:rPr>
          <w:fldChar w:fldCharType="separate"/>
        </w:r>
        <w:r w:rsidR="00875D01">
          <w:rPr>
            <w:noProof/>
            <w:webHidden/>
          </w:rPr>
          <w:t>5</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75" w:history="1">
        <w:r w:rsidR="00875D01" w:rsidRPr="0013588F">
          <w:rPr>
            <w:rStyle w:val="Hyperlink"/>
            <w:noProof/>
          </w:rPr>
          <w:t>2.1</w:t>
        </w:r>
        <w:r w:rsidR="00875D01">
          <w:rPr>
            <w:rFonts w:eastAsiaTheme="minorEastAsia"/>
            <w:noProof/>
            <w:lang w:val="en-GB" w:eastAsia="en-GB"/>
          </w:rPr>
          <w:tab/>
        </w:r>
        <w:r w:rsidR="00875D01" w:rsidRPr="0013588F">
          <w:rPr>
            <w:rStyle w:val="Hyperlink"/>
            <w:noProof/>
          </w:rPr>
          <w:t>Evidence Perused</w:t>
        </w:r>
        <w:r w:rsidR="00875D01">
          <w:rPr>
            <w:noProof/>
            <w:webHidden/>
          </w:rPr>
          <w:tab/>
        </w:r>
        <w:r w:rsidR="00875D01">
          <w:rPr>
            <w:noProof/>
            <w:webHidden/>
          </w:rPr>
          <w:fldChar w:fldCharType="begin"/>
        </w:r>
        <w:r w:rsidR="00875D01">
          <w:rPr>
            <w:noProof/>
            <w:webHidden/>
          </w:rPr>
          <w:instrText xml:space="preserve"> PAGEREF _Toc513221575 \h </w:instrText>
        </w:r>
        <w:r w:rsidR="00875D01">
          <w:rPr>
            <w:noProof/>
            <w:webHidden/>
          </w:rPr>
        </w:r>
        <w:r w:rsidR="00875D01">
          <w:rPr>
            <w:noProof/>
            <w:webHidden/>
          </w:rPr>
          <w:fldChar w:fldCharType="separate"/>
        </w:r>
        <w:r w:rsidR="00875D01">
          <w:rPr>
            <w:noProof/>
            <w:webHidden/>
          </w:rPr>
          <w:t>5</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76" w:history="1">
        <w:r w:rsidR="00875D01" w:rsidRPr="0013588F">
          <w:rPr>
            <w:rStyle w:val="Hyperlink"/>
            <w:noProof/>
          </w:rPr>
          <w:t>2.2</w:t>
        </w:r>
        <w:r w:rsidR="00875D01">
          <w:rPr>
            <w:rFonts w:eastAsiaTheme="minorEastAsia"/>
            <w:noProof/>
            <w:lang w:val="en-GB" w:eastAsia="en-GB"/>
          </w:rPr>
          <w:tab/>
        </w:r>
        <w:r w:rsidR="00875D01" w:rsidRPr="0013588F">
          <w:rPr>
            <w:rStyle w:val="Hyperlink"/>
            <w:noProof/>
          </w:rPr>
          <w:t>Agenda</w:t>
        </w:r>
        <w:r w:rsidR="00875D01">
          <w:rPr>
            <w:noProof/>
            <w:webHidden/>
          </w:rPr>
          <w:tab/>
        </w:r>
        <w:r w:rsidR="00875D01">
          <w:rPr>
            <w:noProof/>
            <w:webHidden/>
          </w:rPr>
          <w:fldChar w:fldCharType="begin"/>
        </w:r>
        <w:r w:rsidR="00875D01">
          <w:rPr>
            <w:noProof/>
            <w:webHidden/>
          </w:rPr>
          <w:instrText xml:space="preserve"> PAGEREF _Toc513221576 \h </w:instrText>
        </w:r>
        <w:r w:rsidR="00875D01">
          <w:rPr>
            <w:noProof/>
            <w:webHidden/>
          </w:rPr>
        </w:r>
        <w:r w:rsidR="00875D01">
          <w:rPr>
            <w:noProof/>
            <w:webHidden/>
          </w:rPr>
          <w:fldChar w:fldCharType="separate"/>
        </w:r>
        <w:r w:rsidR="00875D01">
          <w:rPr>
            <w:noProof/>
            <w:webHidden/>
          </w:rPr>
          <w:t>6</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77" w:history="1">
        <w:r w:rsidR="00875D01" w:rsidRPr="0013588F">
          <w:rPr>
            <w:rStyle w:val="Hyperlink"/>
            <w:noProof/>
          </w:rPr>
          <w:t>2.3</w:t>
        </w:r>
        <w:r w:rsidR="00875D01">
          <w:rPr>
            <w:rFonts w:eastAsiaTheme="minorEastAsia"/>
            <w:noProof/>
            <w:lang w:val="en-GB" w:eastAsia="en-GB"/>
          </w:rPr>
          <w:tab/>
        </w:r>
        <w:r w:rsidR="00875D01" w:rsidRPr="0013588F">
          <w:rPr>
            <w:rStyle w:val="Hyperlink"/>
            <w:noProof/>
          </w:rPr>
          <w:t>Persons Met</w:t>
        </w:r>
        <w:r w:rsidR="00875D01">
          <w:rPr>
            <w:noProof/>
            <w:webHidden/>
          </w:rPr>
          <w:tab/>
        </w:r>
        <w:r w:rsidR="00875D01">
          <w:rPr>
            <w:noProof/>
            <w:webHidden/>
          </w:rPr>
          <w:fldChar w:fldCharType="begin"/>
        </w:r>
        <w:r w:rsidR="00875D01">
          <w:rPr>
            <w:noProof/>
            <w:webHidden/>
          </w:rPr>
          <w:instrText xml:space="preserve"> PAGEREF _Toc513221577 \h </w:instrText>
        </w:r>
        <w:r w:rsidR="00875D01">
          <w:rPr>
            <w:noProof/>
            <w:webHidden/>
          </w:rPr>
        </w:r>
        <w:r w:rsidR="00875D01">
          <w:rPr>
            <w:noProof/>
            <w:webHidden/>
          </w:rPr>
          <w:fldChar w:fldCharType="separate"/>
        </w:r>
        <w:r w:rsidR="00875D01">
          <w:rPr>
            <w:noProof/>
            <w:webHidden/>
          </w:rPr>
          <w:t>6</w:t>
        </w:r>
        <w:r w:rsidR="00875D01">
          <w:rPr>
            <w:noProof/>
            <w:webHidden/>
          </w:rPr>
          <w:fldChar w:fldCharType="end"/>
        </w:r>
      </w:hyperlink>
    </w:p>
    <w:p w:rsidR="00875D01" w:rsidRDefault="009B18CC">
      <w:pPr>
        <w:pStyle w:val="TOC2"/>
        <w:tabs>
          <w:tab w:val="right" w:leader="dot" w:pos="9016"/>
        </w:tabs>
        <w:rPr>
          <w:rFonts w:eastAsiaTheme="minorEastAsia"/>
          <w:noProof/>
          <w:lang w:val="en-GB" w:eastAsia="en-GB"/>
        </w:rPr>
      </w:pPr>
      <w:hyperlink w:anchor="_Toc513221578" w:history="1">
        <w:r w:rsidR="00875D01" w:rsidRPr="0013588F">
          <w:rPr>
            <w:rStyle w:val="Hyperlink"/>
            <w:noProof/>
          </w:rPr>
          <w:t>Staff, Students and Graduates with whom the Panel Met</w:t>
        </w:r>
        <w:r w:rsidR="00875D01">
          <w:rPr>
            <w:noProof/>
            <w:webHidden/>
          </w:rPr>
          <w:tab/>
        </w:r>
        <w:r w:rsidR="00875D01">
          <w:rPr>
            <w:noProof/>
            <w:webHidden/>
          </w:rPr>
          <w:fldChar w:fldCharType="begin"/>
        </w:r>
        <w:r w:rsidR="00875D01">
          <w:rPr>
            <w:noProof/>
            <w:webHidden/>
          </w:rPr>
          <w:instrText xml:space="preserve"> PAGEREF _Toc513221578 \h </w:instrText>
        </w:r>
        <w:r w:rsidR="00875D01">
          <w:rPr>
            <w:noProof/>
            <w:webHidden/>
          </w:rPr>
        </w:r>
        <w:r w:rsidR="00875D01">
          <w:rPr>
            <w:noProof/>
            <w:webHidden/>
          </w:rPr>
          <w:fldChar w:fldCharType="separate"/>
        </w:r>
        <w:r w:rsidR="00875D01">
          <w:rPr>
            <w:noProof/>
            <w:webHidden/>
          </w:rPr>
          <w:t>6</w:t>
        </w:r>
        <w:r w:rsidR="00875D01">
          <w:rPr>
            <w:noProof/>
            <w:webHidden/>
          </w:rPr>
          <w:fldChar w:fldCharType="end"/>
        </w:r>
      </w:hyperlink>
    </w:p>
    <w:p w:rsidR="00875D01" w:rsidRDefault="009B18CC">
      <w:pPr>
        <w:pStyle w:val="TOC1"/>
        <w:tabs>
          <w:tab w:val="left" w:pos="440"/>
          <w:tab w:val="right" w:leader="dot" w:pos="9016"/>
        </w:tabs>
        <w:rPr>
          <w:rFonts w:eastAsiaTheme="minorEastAsia"/>
          <w:noProof/>
          <w:lang w:val="en-GB" w:eastAsia="en-GB"/>
        </w:rPr>
      </w:pPr>
      <w:hyperlink w:anchor="_Toc513221579" w:history="1">
        <w:r w:rsidR="00875D01" w:rsidRPr="0013588F">
          <w:rPr>
            <w:rStyle w:val="Hyperlink"/>
            <w:noProof/>
          </w:rPr>
          <w:t>3</w:t>
        </w:r>
        <w:r w:rsidR="00875D01">
          <w:rPr>
            <w:rFonts w:eastAsiaTheme="minorEastAsia"/>
            <w:noProof/>
            <w:lang w:val="en-GB" w:eastAsia="en-GB"/>
          </w:rPr>
          <w:tab/>
        </w:r>
        <w:r w:rsidR="00875D01" w:rsidRPr="0013588F">
          <w:rPr>
            <w:rStyle w:val="Hyperlink"/>
            <w:noProof/>
          </w:rPr>
          <w:t>Review of the Programme Review Report</w:t>
        </w:r>
        <w:r w:rsidR="00875D01">
          <w:rPr>
            <w:noProof/>
            <w:webHidden/>
          </w:rPr>
          <w:tab/>
        </w:r>
        <w:r w:rsidR="00875D01">
          <w:rPr>
            <w:noProof/>
            <w:webHidden/>
          </w:rPr>
          <w:fldChar w:fldCharType="begin"/>
        </w:r>
        <w:r w:rsidR="00875D01">
          <w:rPr>
            <w:noProof/>
            <w:webHidden/>
          </w:rPr>
          <w:instrText xml:space="preserve"> PAGEREF _Toc513221579 \h </w:instrText>
        </w:r>
        <w:r w:rsidR="00875D01">
          <w:rPr>
            <w:noProof/>
            <w:webHidden/>
          </w:rPr>
        </w:r>
        <w:r w:rsidR="00875D01">
          <w:rPr>
            <w:noProof/>
            <w:webHidden/>
          </w:rPr>
          <w:fldChar w:fldCharType="separate"/>
        </w:r>
        <w:r w:rsidR="00875D01">
          <w:rPr>
            <w:noProof/>
            <w:webHidden/>
          </w:rPr>
          <w:t>9</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80" w:history="1">
        <w:r w:rsidR="00875D01" w:rsidRPr="0013588F">
          <w:rPr>
            <w:rStyle w:val="Hyperlink"/>
            <w:noProof/>
          </w:rPr>
          <w:t>3.1</w:t>
        </w:r>
        <w:r w:rsidR="00875D01">
          <w:rPr>
            <w:rFonts w:eastAsiaTheme="minorEastAsia"/>
            <w:noProof/>
            <w:lang w:val="en-GB" w:eastAsia="en-GB"/>
          </w:rPr>
          <w:tab/>
        </w:r>
        <w:r w:rsidR="00875D01" w:rsidRPr="0013588F">
          <w:rPr>
            <w:rStyle w:val="Hyperlink"/>
            <w:noProof/>
          </w:rPr>
          <w:t>Fitness for Purpose of the Programme</w:t>
        </w:r>
        <w:r w:rsidR="00875D01">
          <w:rPr>
            <w:noProof/>
            <w:webHidden/>
          </w:rPr>
          <w:tab/>
        </w:r>
        <w:r w:rsidR="00875D01">
          <w:rPr>
            <w:noProof/>
            <w:webHidden/>
          </w:rPr>
          <w:fldChar w:fldCharType="begin"/>
        </w:r>
        <w:r w:rsidR="00875D01">
          <w:rPr>
            <w:noProof/>
            <w:webHidden/>
          </w:rPr>
          <w:instrText xml:space="preserve"> PAGEREF _Toc513221580 \h </w:instrText>
        </w:r>
        <w:r w:rsidR="00875D01">
          <w:rPr>
            <w:noProof/>
            <w:webHidden/>
          </w:rPr>
        </w:r>
        <w:r w:rsidR="00875D01">
          <w:rPr>
            <w:noProof/>
            <w:webHidden/>
          </w:rPr>
          <w:fldChar w:fldCharType="separate"/>
        </w:r>
        <w:r w:rsidR="00875D01">
          <w:rPr>
            <w:noProof/>
            <w:webHidden/>
          </w:rPr>
          <w:t>9</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81" w:history="1">
        <w:r w:rsidR="00875D01" w:rsidRPr="0013588F">
          <w:rPr>
            <w:rStyle w:val="Hyperlink"/>
            <w:noProof/>
          </w:rPr>
          <w:t>3.2</w:t>
        </w:r>
        <w:r w:rsidR="00875D01">
          <w:rPr>
            <w:rFonts w:eastAsiaTheme="minorEastAsia"/>
            <w:noProof/>
            <w:lang w:val="en-GB" w:eastAsia="en-GB"/>
          </w:rPr>
          <w:tab/>
        </w:r>
        <w:r w:rsidR="00875D01" w:rsidRPr="0013588F">
          <w:rPr>
            <w:rStyle w:val="Hyperlink"/>
            <w:noProof/>
          </w:rPr>
          <w:t>Achievement of the Programme of its Stated Objectives</w:t>
        </w:r>
        <w:r w:rsidR="00875D01">
          <w:rPr>
            <w:noProof/>
            <w:webHidden/>
          </w:rPr>
          <w:tab/>
        </w:r>
        <w:r w:rsidR="00875D01">
          <w:rPr>
            <w:noProof/>
            <w:webHidden/>
          </w:rPr>
          <w:fldChar w:fldCharType="begin"/>
        </w:r>
        <w:r w:rsidR="00875D01">
          <w:rPr>
            <w:noProof/>
            <w:webHidden/>
          </w:rPr>
          <w:instrText xml:space="preserve"> PAGEREF _Toc513221581 \h </w:instrText>
        </w:r>
        <w:r w:rsidR="00875D01">
          <w:rPr>
            <w:noProof/>
            <w:webHidden/>
          </w:rPr>
        </w:r>
        <w:r w:rsidR="00875D01">
          <w:rPr>
            <w:noProof/>
            <w:webHidden/>
          </w:rPr>
          <w:fldChar w:fldCharType="separate"/>
        </w:r>
        <w:r w:rsidR="00875D01">
          <w:rPr>
            <w:noProof/>
            <w:webHidden/>
          </w:rPr>
          <w:t>9</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82" w:history="1">
        <w:r w:rsidR="00875D01" w:rsidRPr="0013588F">
          <w:rPr>
            <w:rStyle w:val="Hyperlink"/>
            <w:noProof/>
          </w:rPr>
          <w:t>3.3</w:t>
        </w:r>
        <w:r w:rsidR="00875D01">
          <w:rPr>
            <w:rFonts w:eastAsiaTheme="minorEastAsia"/>
            <w:noProof/>
            <w:lang w:val="en-GB" w:eastAsia="en-GB"/>
          </w:rPr>
          <w:tab/>
        </w:r>
        <w:r w:rsidR="00875D01" w:rsidRPr="0013588F">
          <w:rPr>
            <w:rStyle w:val="Hyperlink"/>
            <w:noProof/>
          </w:rPr>
          <w:t>Learner Profile</w:t>
        </w:r>
        <w:r w:rsidR="00875D01">
          <w:rPr>
            <w:noProof/>
            <w:webHidden/>
          </w:rPr>
          <w:tab/>
        </w:r>
        <w:r w:rsidR="00875D01">
          <w:rPr>
            <w:noProof/>
            <w:webHidden/>
          </w:rPr>
          <w:fldChar w:fldCharType="begin"/>
        </w:r>
        <w:r w:rsidR="00875D01">
          <w:rPr>
            <w:noProof/>
            <w:webHidden/>
          </w:rPr>
          <w:instrText xml:space="preserve"> PAGEREF _Toc513221582 \h </w:instrText>
        </w:r>
        <w:r w:rsidR="00875D01">
          <w:rPr>
            <w:noProof/>
            <w:webHidden/>
          </w:rPr>
        </w:r>
        <w:r w:rsidR="00875D01">
          <w:rPr>
            <w:noProof/>
            <w:webHidden/>
          </w:rPr>
          <w:fldChar w:fldCharType="separate"/>
        </w:r>
        <w:r w:rsidR="00875D01">
          <w:rPr>
            <w:noProof/>
            <w:webHidden/>
          </w:rPr>
          <w:t>9</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83" w:history="1">
        <w:r w:rsidR="00875D01" w:rsidRPr="0013588F">
          <w:rPr>
            <w:rStyle w:val="Hyperlink"/>
            <w:noProof/>
          </w:rPr>
          <w:t>3.4</w:t>
        </w:r>
        <w:r w:rsidR="00875D01">
          <w:rPr>
            <w:rFonts w:eastAsiaTheme="minorEastAsia"/>
            <w:noProof/>
            <w:lang w:val="en-GB" w:eastAsia="en-GB"/>
          </w:rPr>
          <w:tab/>
        </w:r>
        <w:r w:rsidR="00875D01" w:rsidRPr="0013588F">
          <w:rPr>
            <w:rStyle w:val="Hyperlink"/>
            <w:noProof/>
          </w:rPr>
          <w:t>Learner Performance</w:t>
        </w:r>
        <w:r w:rsidR="00875D01">
          <w:rPr>
            <w:noProof/>
            <w:webHidden/>
          </w:rPr>
          <w:tab/>
        </w:r>
        <w:r w:rsidR="00875D01">
          <w:rPr>
            <w:noProof/>
            <w:webHidden/>
          </w:rPr>
          <w:fldChar w:fldCharType="begin"/>
        </w:r>
        <w:r w:rsidR="00875D01">
          <w:rPr>
            <w:noProof/>
            <w:webHidden/>
          </w:rPr>
          <w:instrText xml:space="preserve"> PAGEREF _Toc513221583 \h </w:instrText>
        </w:r>
        <w:r w:rsidR="00875D01">
          <w:rPr>
            <w:noProof/>
            <w:webHidden/>
          </w:rPr>
        </w:r>
        <w:r w:rsidR="00875D01">
          <w:rPr>
            <w:noProof/>
            <w:webHidden/>
          </w:rPr>
          <w:fldChar w:fldCharType="separate"/>
        </w:r>
        <w:r w:rsidR="00875D01">
          <w:rPr>
            <w:noProof/>
            <w:webHidden/>
          </w:rPr>
          <w:t>10</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84" w:history="1">
        <w:r w:rsidR="00875D01" w:rsidRPr="0013588F">
          <w:rPr>
            <w:rStyle w:val="Hyperlink"/>
            <w:noProof/>
          </w:rPr>
          <w:t>3.5</w:t>
        </w:r>
        <w:r w:rsidR="00875D01">
          <w:rPr>
            <w:rFonts w:eastAsiaTheme="minorEastAsia"/>
            <w:noProof/>
            <w:lang w:val="en-GB" w:eastAsia="en-GB"/>
          </w:rPr>
          <w:tab/>
        </w:r>
        <w:r w:rsidR="00875D01" w:rsidRPr="0013588F">
          <w:rPr>
            <w:rStyle w:val="Hyperlink"/>
            <w:noProof/>
          </w:rPr>
          <w:t>Quality of the Learning Environment</w:t>
        </w:r>
        <w:r w:rsidR="00875D01">
          <w:rPr>
            <w:noProof/>
            <w:webHidden/>
          </w:rPr>
          <w:tab/>
        </w:r>
        <w:r w:rsidR="00875D01">
          <w:rPr>
            <w:noProof/>
            <w:webHidden/>
          </w:rPr>
          <w:fldChar w:fldCharType="begin"/>
        </w:r>
        <w:r w:rsidR="00875D01">
          <w:rPr>
            <w:noProof/>
            <w:webHidden/>
          </w:rPr>
          <w:instrText xml:space="preserve"> PAGEREF _Toc513221584 \h </w:instrText>
        </w:r>
        <w:r w:rsidR="00875D01">
          <w:rPr>
            <w:noProof/>
            <w:webHidden/>
          </w:rPr>
        </w:r>
        <w:r w:rsidR="00875D01">
          <w:rPr>
            <w:noProof/>
            <w:webHidden/>
          </w:rPr>
          <w:fldChar w:fldCharType="separate"/>
        </w:r>
        <w:r w:rsidR="00875D01">
          <w:rPr>
            <w:noProof/>
            <w:webHidden/>
          </w:rPr>
          <w:t>11</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85" w:history="1">
        <w:r w:rsidR="00875D01" w:rsidRPr="0013588F">
          <w:rPr>
            <w:rStyle w:val="Hyperlink"/>
            <w:noProof/>
          </w:rPr>
          <w:t>3.6</w:t>
        </w:r>
        <w:r w:rsidR="00875D01">
          <w:rPr>
            <w:rFonts w:eastAsiaTheme="minorEastAsia"/>
            <w:noProof/>
            <w:lang w:val="en-GB" w:eastAsia="en-GB"/>
          </w:rPr>
          <w:tab/>
        </w:r>
        <w:r w:rsidR="00875D01" w:rsidRPr="0013588F">
          <w:rPr>
            <w:rStyle w:val="Hyperlink"/>
            <w:noProof/>
          </w:rPr>
          <w:t>Suitability of Learner Workload</w:t>
        </w:r>
        <w:r w:rsidR="00875D01">
          <w:rPr>
            <w:noProof/>
            <w:webHidden/>
          </w:rPr>
          <w:tab/>
        </w:r>
        <w:r w:rsidR="00875D01">
          <w:rPr>
            <w:noProof/>
            <w:webHidden/>
          </w:rPr>
          <w:fldChar w:fldCharType="begin"/>
        </w:r>
        <w:r w:rsidR="00875D01">
          <w:rPr>
            <w:noProof/>
            <w:webHidden/>
          </w:rPr>
          <w:instrText xml:space="preserve"> PAGEREF _Toc513221585 \h </w:instrText>
        </w:r>
        <w:r w:rsidR="00875D01">
          <w:rPr>
            <w:noProof/>
            <w:webHidden/>
          </w:rPr>
        </w:r>
        <w:r w:rsidR="00875D01">
          <w:rPr>
            <w:noProof/>
            <w:webHidden/>
          </w:rPr>
          <w:fldChar w:fldCharType="separate"/>
        </w:r>
        <w:r w:rsidR="00875D01">
          <w:rPr>
            <w:noProof/>
            <w:webHidden/>
          </w:rPr>
          <w:t>11</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86" w:history="1">
        <w:r w:rsidR="00875D01" w:rsidRPr="0013588F">
          <w:rPr>
            <w:rStyle w:val="Hyperlink"/>
            <w:noProof/>
          </w:rPr>
          <w:t>3.7</w:t>
        </w:r>
        <w:r w:rsidR="00875D01">
          <w:rPr>
            <w:rFonts w:eastAsiaTheme="minorEastAsia"/>
            <w:noProof/>
            <w:lang w:val="en-GB" w:eastAsia="en-GB"/>
          </w:rPr>
          <w:tab/>
        </w:r>
        <w:r w:rsidR="00875D01" w:rsidRPr="0013588F">
          <w:rPr>
            <w:rStyle w:val="Hyperlink"/>
            <w:noProof/>
          </w:rPr>
          <w:t>Effectiveness of Procedures for Assessment</w:t>
        </w:r>
        <w:r w:rsidR="00875D01">
          <w:rPr>
            <w:noProof/>
            <w:webHidden/>
          </w:rPr>
          <w:tab/>
        </w:r>
        <w:r w:rsidR="00875D01">
          <w:rPr>
            <w:noProof/>
            <w:webHidden/>
          </w:rPr>
          <w:fldChar w:fldCharType="begin"/>
        </w:r>
        <w:r w:rsidR="00875D01">
          <w:rPr>
            <w:noProof/>
            <w:webHidden/>
          </w:rPr>
          <w:instrText xml:space="preserve"> PAGEREF _Toc513221586 \h </w:instrText>
        </w:r>
        <w:r w:rsidR="00875D01">
          <w:rPr>
            <w:noProof/>
            <w:webHidden/>
          </w:rPr>
        </w:r>
        <w:r w:rsidR="00875D01">
          <w:rPr>
            <w:noProof/>
            <w:webHidden/>
          </w:rPr>
          <w:fldChar w:fldCharType="separate"/>
        </w:r>
        <w:r w:rsidR="00875D01">
          <w:rPr>
            <w:noProof/>
            <w:webHidden/>
          </w:rPr>
          <w:t>11</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87" w:history="1">
        <w:r w:rsidR="00875D01" w:rsidRPr="0013588F">
          <w:rPr>
            <w:rStyle w:val="Hyperlink"/>
            <w:noProof/>
          </w:rPr>
          <w:t>3.8</w:t>
        </w:r>
        <w:r w:rsidR="00875D01">
          <w:rPr>
            <w:rFonts w:eastAsiaTheme="minorEastAsia"/>
            <w:noProof/>
            <w:lang w:val="en-GB" w:eastAsia="en-GB"/>
          </w:rPr>
          <w:tab/>
        </w:r>
        <w:r w:rsidR="00875D01" w:rsidRPr="0013588F">
          <w:rPr>
            <w:rStyle w:val="Hyperlink"/>
            <w:noProof/>
          </w:rPr>
          <w:t>Quality Assurance Arrangements</w:t>
        </w:r>
        <w:r w:rsidR="00875D01">
          <w:rPr>
            <w:noProof/>
            <w:webHidden/>
          </w:rPr>
          <w:tab/>
        </w:r>
        <w:r w:rsidR="00875D01">
          <w:rPr>
            <w:noProof/>
            <w:webHidden/>
          </w:rPr>
          <w:fldChar w:fldCharType="begin"/>
        </w:r>
        <w:r w:rsidR="00875D01">
          <w:rPr>
            <w:noProof/>
            <w:webHidden/>
          </w:rPr>
          <w:instrText xml:space="preserve"> PAGEREF _Toc513221587 \h </w:instrText>
        </w:r>
        <w:r w:rsidR="00875D01">
          <w:rPr>
            <w:noProof/>
            <w:webHidden/>
          </w:rPr>
        </w:r>
        <w:r w:rsidR="00875D01">
          <w:rPr>
            <w:noProof/>
            <w:webHidden/>
          </w:rPr>
          <w:fldChar w:fldCharType="separate"/>
        </w:r>
        <w:r w:rsidR="00875D01">
          <w:rPr>
            <w:noProof/>
            <w:webHidden/>
          </w:rPr>
          <w:t>11</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88" w:history="1">
        <w:r w:rsidR="00875D01" w:rsidRPr="0013588F">
          <w:rPr>
            <w:rStyle w:val="Hyperlink"/>
            <w:noProof/>
          </w:rPr>
          <w:t>3.9</w:t>
        </w:r>
        <w:r w:rsidR="00875D01">
          <w:rPr>
            <w:rFonts w:eastAsiaTheme="minorEastAsia"/>
            <w:noProof/>
            <w:lang w:val="en-GB" w:eastAsia="en-GB"/>
          </w:rPr>
          <w:tab/>
        </w:r>
        <w:r w:rsidR="00875D01" w:rsidRPr="0013588F">
          <w:rPr>
            <w:rStyle w:val="Hyperlink"/>
            <w:noProof/>
          </w:rPr>
          <w:t>Proposed Modifications</w:t>
        </w:r>
        <w:r w:rsidR="00875D01">
          <w:rPr>
            <w:noProof/>
            <w:webHidden/>
          </w:rPr>
          <w:tab/>
        </w:r>
        <w:r w:rsidR="00875D01">
          <w:rPr>
            <w:noProof/>
            <w:webHidden/>
          </w:rPr>
          <w:fldChar w:fldCharType="begin"/>
        </w:r>
        <w:r w:rsidR="00875D01">
          <w:rPr>
            <w:noProof/>
            <w:webHidden/>
          </w:rPr>
          <w:instrText xml:space="preserve"> PAGEREF _Toc513221588 \h </w:instrText>
        </w:r>
        <w:r w:rsidR="00875D01">
          <w:rPr>
            <w:noProof/>
            <w:webHidden/>
          </w:rPr>
        </w:r>
        <w:r w:rsidR="00875D01">
          <w:rPr>
            <w:noProof/>
            <w:webHidden/>
          </w:rPr>
          <w:fldChar w:fldCharType="separate"/>
        </w:r>
        <w:r w:rsidR="00875D01">
          <w:rPr>
            <w:noProof/>
            <w:webHidden/>
          </w:rPr>
          <w:t>12</w:t>
        </w:r>
        <w:r w:rsidR="00875D01">
          <w:rPr>
            <w:noProof/>
            <w:webHidden/>
          </w:rPr>
          <w:fldChar w:fldCharType="end"/>
        </w:r>
      </w:hyperlink>
    </w:p>
    <w:p w:rsidR="00875D01" w:rsidRDefault="009B18CC">
      <w:pPr>
        <w:pStyle w:val="TOC1"/>
        <w:tabs>
          <w:tab w:val="left" w:pos="440"/>
          <w:tab w:val="right" w:leader="dot" w:pos="9016"/>
        </w:tabs>
        <w:rPr>
          <w:rFonts w:eastAsiaTheme="minorEastAsia"/>
          <w:noProof/>
          <w:lang w:val="en-GB" w:eastAsia="en-GB"/>
        </w:rPr>
      </w:pPr>
      <w:hyperlink w:anchor="_Toc513221589" w:history="1">
        <w:r w:rsidR="00875D01" w:rsidRPr="0013588F">
          <w:rPr>
            <w:rStyle w:val="Hyperlink"/>
            <w:rFonts w:asciiTheme="majorHAnsi" w:hAnsiTheme="majorHAnsi"/>
            <w:noProof/>
          </w:rPr>
          <w:t>4</w:t>
        </w:r>
        <w:r w:rsidR="00875D01">
          <w:rPr>
            <w:rFonts w:eastAsiaTheme="minorEastAsia"/>
            <w:noProof/>
            <w:lang w:val="en-GB" w:eastAsia="en-GB"/>
          </w:rPr>
          <w:tab/>
        </w:r>
        <w:r w:rsidR="00875D01" w:rsidRPr="0013588F">
          <w:rPr>
            <w:rStyle w:val="Hyperlink"/>
            <w:noProof/>
          </w:rPr>
          <w:t>Evaluation of the Modified Programme</w:t>
        </w:r>
        <w:r w:rsidR="00875D01">
          <w:rPr>
            <w:noProof/>
            <w:webHidden/>
          </w:rPr>
          <w:tab/>
        </w:r>
        <w:r w:rsidR="00875D01">
          <w:rPr>
            <w:noProof/>
            <w:webHidden/>
          </w:rPr>
          <w:fldChar w:fldCharType="begin"/>
        </w:r>
        <w:r w:rsidR="00875D01">
          <w:rPr>
            <w:noProof/>
            <w:webHidden/>
          </w:rPr>
          <w:instrText xml:space="preserve"> PAGEREF _Toc513221589 \h </w:instrText>
        </w:r>
        <w:r w:rsidR="00875D01">
          <w:rPr>
            <w:noProof/>
            <w:webHidden/>
          </w:rPr>
        </w:r>
        <w:r w:rsidR="00875D01">
          <w:rPr>
            <w:noProof/>
            <w:webHidden/>
          </w:rPr>
          <w:fldChar w:fldCharType="separate"/>
        </w:r>
        <w:r w:rsidR="00875D01">
          <w:rPr>
            <w:noProof/>
            <w:webHidden/>
          </w:rPr>
          <w:t>13</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90" w:history="1">
        <w:r w:rsidR="00875D01" w:rsidRPr="0013588F">
          <w:rPr>
            <w:rStyle w:val="Hyperlink"/>
            <w:noProof/>
          </w:rPr>
          <w:t>4.1</w:t>
        </w:r>
        <w:r w:rsidR="00875D01">
          <w:rPr>
            <w:rFonts w:eastAsiaTheme="minorEastAsia"/>
            <w:noProof/>
            <w:lang w:val="en-GB" w:eastAsia="en-GB"/>
          </w:rPr>
          <w:tab/>
        </w:r>
        <w:r w:rsidR="00875D01" w:rsidRPr="0013588F">
          <w:rPr>
            <w:rStyle w:val="Hyperlink"/>
            <w:noProof/>
          </w:rPr>
          <w:t>Report</w:t>
        </w:r>
        <w:r w:rsidR="00875D01">
          <w:rPr>
            <w:noProof/>
            <w:webHidden/>
          </w:rPr>
          <w:tab/>
        </w:r>
        <w:r w:rsidR="00875D01">
          <w:rPr>
            <w:noProof/>
            <w:webHidden/>
          </w:rPr>
          <w:fldChar w:fldCharType="begin"/>
        </w:r>
        <w:r w:rsidR="00875D01">
          <w:rPr>
            <w:noProof/>
            <w:webHidden/>
          </w:rPr>
          <w:instrText xml:space="preserve"> PAGEREF _Toc513221590 \h </w:instrText>
        </w:r>
        <w:r w:rsidR="00875D01">
          <w:rPr>
            <w:noProof/>
            <w:webHidden/>
          </w:rPr>
        </w:r>
        <w:r w:rsidR="00875D01">
          <w:rPr>
            <w:noProof/>
            <w:webHidden/>
          </w:rPr>
          <w:fldChar w:fldCharType="separate"/>
        </w:r>
        <w:r w:rsidR="00875D01">
          <w:rPr>
            <w:noProof/>
            <w:webHidden/>
          </w:rPr>
          <w:t>13</w:t>
        </w:r>
        <w:r w:rsidR="00875D01">
          <w:rPr>
            <w:noProof/>
            <w:webHidden/>
          </w:rPr>
          <w:fldChar w:fldCharType="end"/>
        </w:r>
      </w:hyperlink>
    </w:p>
    <w:p w:rsidR="00875D01" w:rsidRDefault="009B18CC">
      <w:pPr>
        <w:pStyle w:val="TOC1"/>
        <w:tabs>
          <w:tab w:val="left" w:pos="440"/>
          <w:tab w:val="right" w:leader="dot" w:pos="9016"/>
        </w:tabs>
        <w:rPr>
          <w:rFonts w:eastAsiaTheme="minorEastAsia"/>
          <w:noProof/>
          <w:lang w:val="en-GB" w:eastAsia="en-GB"/>
        </w:rPr>
      </w:pPr>
      <w:hyperlink w:anchor="_Toc513221591" w:history="1">
        <w:r w:rsidR="00875D01" w:rsidRPr="0013588F">
          <w:rPr>
            <w:rStyle w:val="Hyperlink"/>
            <w:noProof/>
          </w:rPr>
          <w:t>5</w:t>
        </w:r>
        <w:r w:rsidR="00875D01">
          <w:rPr>
            <w:rFonts w:eastAsiaTheme="minorEastAsia"/>
            <w:noProof/>
            <w:lang w:val="en-GB" w:eastAsia="en-GB"/>
          </w:rPr>
          <w:tab/>
        </w:r>
        <w:r w:rsidR="00875D01" w:rsidRPr="0013588F">
          <w:rPr>
            <w:rStyle w:val="Hyperlink"/>
            <w:noProof/>
          </w:rPr>
          <w:t>Outcome of the Review</w:t>
        </w:r>
        <w:r w:rsidR="00875D01">
          <w:rPr>
            <w:noProof/>
            <w:webHidden/>
          </w:rPr>
          <w:tab/>
        </w:r>
        <w:r w:rsidR="00875D01">
          <w:rPr>
            <w:noProof/>
            <w:webHidden/>
          </w:rPr>
          <w:fldChar w:fldCharType="begin"/>
        </w:r>
        <w:r w:rsidR="00875D01">
          <w:rPr>
            <w:noProof/>
            <w:webHidden/>
          </w:rPr>
          <w:instrText xml:space="preserve"> PAGEREF _Toc513221591 \h </w:instrText>
        </w:r>
        <w:r w:rsidR="00875D01">
          <w:rPr>
            <w:noProof/>
            <w:webHidden/>
          </w:rPr>
        </w:r>
        <w:r w:rsidR="00875D01">
          <w:rPr>
            <w:noProof/>
            <w:webHidden/>
          </w:rPr>
          <w:fldChar w:fldCharType="separate"/>
        </w:r>
        <w:r w:rsidR="00875D01">
          <w:rPr>
            <w:noProof/>
            <w:webHidden/>
          </w:rPr>
          <w:t>13</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92" w:history="1">
        <w:r w:rsidR="00875D01" w:rsidRPr="0013588F">
          <w:rPr>
            <w:rStyle w:val="Hyperlink"/>
            <w:noProof/>
          </w:rPr>
          <w:t>5.1</w:t>
        </w:r>
        <w:r w:rsidR="00875D01">
          <w:rPr>
            <w:rFonts w:eastAsiaTheme="minorEastAsia"/>
            <w:noProof/>
            <w:lang w:val="en-GB" w:eastAsia="en-GB"/>
          </w:rPr>
          <w:tab/>
        </w:r>
        <w:r w:rsidR="00875D01" w:rsidRPr="0013588F">
          <w:rPr>
            <w:rStyle w:val="Hyperlink"/>
            <w:noProof/>
          </w:rPr>
          <w:t>Summary</w:t>
        </w:r>
        <w:r w:rsidR="00875D01">
          <w:rPr>
            <w:noProof/>
            <w:webHidden/>
          </w:rPr>
          <w:tab/>
        </w:r>
        <w:r w:rsidR="00875D01">
          <w:rPr>
            <w:noProof/>
            <w:webHidden/>
          </w:rPr>
          <w:fldChar w:fldCharType="begin"/>
        </w:r>
        <w:r w:rsidR="00875D01">
          <w:rPr>
            <w:noProof/>
            <w:webHidden/>
          </w:rPr>
          <w:instrText xml:space="preserve"> PAGEREF _Toc513221592 \h </w:instrText>
        </w:r>
        <w:r w:rsidR="00875D01">
          <w:rPr>
            <w:noProof/>
            <w:webHidden/>
          </w:rPr>
        </w:r>
        <w:r w:rsidR="00875D01">
          <w:rPr>
            <w:noProof/>
            <w:webHidden/>
          </w:rPr>
          <w:fldChar w:fldCharType="separate"/>
        </w:r>
        <w:r w:rsidR="00875D01">
          <w:rPr>
            <w:noProof/>
            <w:webHidden/>
          </w:rPr>
          <w:t>13</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93" w:history="1">
        <w:r w:rsidR="00875D01" w:rsidRPr="0013588F">
          <w:rPr>
            <w:rStyle w:val="Hyperlink"/>
            <w:noProof/>
          </w:rPr>
          <w:t>5.2</w:t>
        </w:r>
        <w:r w:rsidR="00875D01">
          <w:rPr>
            <w:rFonts w:eastAsiaTheme="minorEastAsia"/>
            <w:noProof/>
            <w:lang w:val="en-GB" w:eastAsia="en-GB"/>
          </w:rPr>
          <w:tab/>
        </w:r>
        <w:r w:rsidR="00875D01" w:rsidRPr="0013588F">
          <w:rPr>
            <w:rStyle w:val="Hyperlink"/>
            <w:noProof/>
          </w:rPr>
          <w:t>Recommendations</w:t>
        </w:r>
        <w:r w:rsidR="00875D01">
          <w:rPr>
            <w:noProof/>
            <w:webHidden/>
          </w:rPr>
          <w:tab/>
        </w:r>
        <w:r w:rsidR="00875D01">
          <w:rPr>
            <w:noProof/>
            <w:webHidden/>
          </w:rPr>
          <w:fldChar w:fldCharType="begin"/>
        </w:r>
        <w:r w:rsidR="00875D01">
          <w:rPr>
            <w:noProof/>
            <w:webHidden/>
          </w:rPr>
          <w:instrText xml:space="preserve"> PAGEREF _Toc513221593 \h </w:instrText>
        </w:r>
        <w:r w:rsidR="00875D01">
          <w:rPr>
            <w:noProof/>
            <w:webHidden/>
          </w:rPr>
        </w:r>
        <w:r w:rsidR="00875D01">
          <w:rPr>
            <w:noProof/>
            <w:webHidden/>
          </w:rPr>
          <w:fldChar w:fldCharType="separate"/>
        </w:r>
        <w:r w:rsidR="00875D01">
          <w:rPr>
            <w:noProof/>
            <w:webHidden/>
          </w:rPr>
          <w:t>13</w:t>
        </w:r>
        <w:r w:rsidR="00875D01">
          <w:rPr>
            <w:noProof/>
            <w:webHidden/>
          </w:rPr>
          <w:fldChar w:fldCharType="end"/>
        </w:r>
      </w:hyperlink>
    </w:p>
    <w:p w:rsidR="00875D01" w:rsidRDefault="009B18CC">
      <w:pPr>
        <w:pStyle w:val="TOC1"/>
        <w:tabs>
          <w:tab w:val="left" w:pos="440"/>
          <w:tab w:val="right" w:leader="dot" w:pos="9016"/>
        </w:tabs>
        <w:rPr>
          <w:rFonts w:eastAsiaTheme="minorEastAsia"/>
          <w:noProof/>
          <w:lang w:val="en-GB" w:eastAsia="en-GB"/>
        </w:rPr>
      </w:pPr>
      <w:hyperlink w:anchor="_Toc513221594" w:history="1">
        <w:r w:rsidR="00875D01" w:rsidRPr="0013588F">
          <w:rPr>
            <w:rStyle w:val="Hyperlink"/>
            <w:noProof/>
          </w:rPr>
          <w:t>6</w:t>
        </w:r>
        <w:r w:rsidR="00875D01">
          <w:rPr>
            <w:rFonts w:eastAsiaTheme="minorEastAsia"/>
            <w:noProof/>
            <w:lang w:val="en-GB" w:eastAsia="en-GB"/>
          </w:rPr>
          <w:tab/>
        </w:r>
        <w:r w:rsidR="00875D01" w:rsidRPr="0013588F">
          <w:rPr>
            <w:rStyle w:val="Hyperlink"/>
            <w:noProof/>
          </w:rPr>
          <w:t>Panel</w:t>
        </w:r>
        <w:r w:rsidR="00875D01">
          <w:rPr>
            <w:noProof/>
            <w:webHidden/>
          </w:rPr>
          <w:tab/>
        </w:r>
        <w:r w:rsidR="00875D01">
          <w:rPr>
            <w:noProof/>
            <w:webHidden/>
          </w:rPr>
          <w:fldChar w:fldCharType="begin"/>
        </w:r>
        <w:r w:rsidR="00875D01">
          <w:rPr>
            <w:noProof/>
            <w:webHidden/>
          </w:rPr>
          <w:instrText xml:space="preserve"> PAGEREF _Toc513221594 \h </w:instrText>
        </w:r>
        <w:r w:rsidR="00875D01">
          <w:rPr>
            <w:noProof/>
            <w:webHidden/>
          </w:rPr>
        </w:r>
        <w:r w:rsidR="00875D01">
          <w:rPr>
            <w:noProof/>
            <w:webHidden/>
          </w:rPr>
          <w:fldChar w:fldCharType="separate"/>
        </w:r>
        <w:r w:rsidR="00875D01">
          <w:rPr>
            <w:noProof/>
            <w:webHidden/>
          </w:rPr>
          <w:t>14</w:t>
        </w:r>
        <w:r w:rsidR="00875D01">
          <w:rPr>
            <w:noProof/>
            <w:webHidden/>
          </w:rPr>
          <w:fldChar w:fldCharType="end"/>
        </w:r>
      </w:hyperlink>
    </w:p>
    <w:p w:rsidR="00875D01" w:rsidRDefault="009B18CC">
      <w:pPr>
        <w:pStyle w:val="TOC1"/>
        <w:tabs>
          <w:tab w:val="left" w:pos="440"/>
          <w:tab w:val="right" w:leader="dot" w:pos="9016"/>
        </w:tabs>
        <w:rPr>
          <w:rFonts w:eastAsiaTheme="minorEastAsia"/>
          <w:noProof/>
          <w:lang w:val="en-GB" w:eastAsia="en-GB"/>
        </w:rPr>
      </w:pPr>
      <w:hyperlink w:anchor="_Toc513221595" w:history="1">
        <w:r w:rsidR="00875D01" w:rsidRPr="0013588F">
          <w:rPr>
            <w:rStyle w:val="Hyperlink"/>
            <w:rFonts w:eastAsia="Times New Roman"/>
            <w:noProof/>
            <w:lang w:val="en-GB"/>
          </w:rPr>
          <w:t>7</w:t>
        </w:r>
        <w:r w:rsidR="00875D01">
          <w:rPr>
            <w:rFonts w:eastAsiaTheme="minorEastAsia"/>
            <w:noProof/>
            <w:lang w:val="en-GB" w:eastAsia="en-GB"/>
          </w:rPr>
          <w:tab/>
        </w:r>
        <w:r w:rsidR="00875D01" w:rsidRPr="0013588F">
          <w:rPr>
            <w:rStyle w:val="Hyperlink"/>
            <w:rFonts w:eastAsia="Times New Roman"/>
            <w:noProof/>
            <w:lang w:val="en-GB"/>
          </w:rPr>
          <w:t>Appendix 1: Evaluation Report on Modified Programme intended to be submitted as an Application for Revalidation</w:t>
        </w:r>
        <w:r w:rsidR="00875D01">
          <w:rPr>
            <w:noProof/>
            <w:webHidden/>
          </w:rPr>
          <w:tab/>
        </w:r>
        <w:r w:rsidR="00875D01">
          <w:rPr>
            <w:noProof/>
            <w:webHidden/>
          </w:rPr>
          <w:fldChar w:fldCharType="begin"/>
        </w:r>
        <w:r w:rsidR="00875D01">
          <w:rPr>
            <w:noProof/>
            <w:webHidden/>
          </w:rPr>
          <w:instrText xml:space="preserve"> PAGEREF _Toc513221595 \h </w:instrText>
        </w:r>
        <w:r w:rsidR="00875D01">
          <w:rPr>
            <w:noProof/>
            <w:webHidden/>
          </w:rPr>
        </w:r>
        <w:r w:rsidR="00875D01">
          <w:rPr>
            <w:noProof/>
            <w:webHidden/>
          </w:rPr>
          <w:fldChar w:fldCharType="separate"/>
        </w:r>
        <w:r w:rsidR="00875D01">
          <w:rPr>
            <w:noProof/>
            <w:webHidden/>
          </w:rPr>
          <w:t>15</w:t>
        </w:r>
        <w:r w:rsidR="00875D01">
          <w:rPr>
            <w:noProof/>
            <w:webHidden/>
          </w:rPr>
          <w:fldChar w:fldCharType="end"/>
        </w:r>
      </w:hyperlink>
    </w:p>
    <w:p w:rsidR="00875D01" w:rsidRDefault="009B18CC">
      <w:pPr>
        <w:pStyle w:val="TOC1"/>
        <w:tabs>
          <w:tab w:val="right" w:leader="dot" w:pos="9016"/>
        </w:tabs>
        <w:rPr>
          <w:rFonts w:eastAsiaTheme="minorEastAsia"/>
          <w:noProof/>
          <w:lang w:val="en-GB" w:eastAsia="en-GB"/>
        </w:rPr>
      </w:pPr>
      <w:hyperlink w:anchor="_Toc513221596" w:history="1">
        <w:r w:rsidR="00875D01" w:rsidRPr="0013588F">
          <w:rPr>
            <w:rStyle w:val="Hyperlink"/>
            <w:noProof/>
          </w:rPr>
          <w:t>Part 1</w:t>
        </w:r>
        <w:r w:rsidR="00875D01">
          <w:rPr>
            <w:noProof/>
            <w:webHidden/>
          </w:rPr>
          <w:tab/>
        </w:r>
        <w:r w:rsidR="00875D01">
          <w:rPr>
            <w:noProof/>
            <w:webHidden/>
          </w:rPr>
          <w:fldChar w:fldCharType="begin"/>
        </w:r>
        <w:r w:rsidR="00875D01">
          <w:rPr>
            <w:noProof/>
            <w:webHidden/>
          </w:rPr>
          <w:instrText xml:space="preserve"> PAGEREF _Toc513221596 \h </w:instrText>
        </w:r>
        <w:r w:rsidR="00875D01">
          <w:rPr>
            <w:noProof/>
            <w:webHidden/>
          </w:rPr>
        </w:r>
        <w:r w:rsidR="00875D01">
          <w:rPr>
            <w:noProof/>
            <w:webHidden/>
          </w:rPr>
          <w:fldChar w:fldCharType="separate"/>
        </w:r>
        <w:r w:rsidR="00875D01">
          <w:rPr>
            <w:noProof/>
            <w:webHidden/>
          </w:rPr>
          <w:t>15</w:t>
        </w:r>
        <w:r w:rsidR="00875D01">
          <w:rPr>
            <w:noProof/>
            <w:webHidden/>
          </w:rPr>
          <w:fldChar w:fldCharType="end"/>
        </w:r>
      </w:hyperlink>
    </w:p>
    <w:p w:rsidR="00875D01" w:rsidRDefault="009B18CC">
      <w:pPr>
        <w:pStyle w:val="TOC2"/>
        <w:tabs>
          <w:tab w:val="right" w:leader="dot" w:pos="9016"/>
        </w:tabs>
        <w:rPr>
          <w:rFonts w:eastAsiaTheme="minorEastAsia"/>
          <w:noProof/>
          <w:lang w:val="en-GB" w:eastAsia="en-GB"/>
        </w:rPr>
      </w:pPr>
      <w:hyperlink w:anchor="_Toc513221597" w:history="1">
        <w:r w:rsidR="00875D01" w:rsidRPr="0013588F">
          <w:rPr>
            <w:rStyle w:val="Hyperlink"/>
            <w:rFonts w:eastAsia="Times New Roman"/>
            <w:noProof/>
            <w:lang w:val="en-GB"/>
          </w:rPr>
          <w:t>Evaluators</w:t>
        </w:r>
        <w:r w:rsidR="00875D01">
          <w:rPr>
            <w:noProof/>
            <w:webHidden/>
          </w:rPr>
          <w:tab/>
        </w:r>
        <w:r w:rsidR="00875D01">
          <w:rPr>
            <w:noProof/>
            <w:webHidden/>
          </w:rPr>
          <w:fldChar w:fldCharType="begin"/>
        </w:r>
        <w:r w:rsidR="00875D01">
          <w:rPr>
            <w:noProof/>
            <w:webHidden/>
          </w:rPr>
          <w:instrText xml:space="preserve"> PAGEREF _Toc513221597 \h </w:instrText>
        </w:r>
        <w:r w:rsidR="00875D01">
          <w:rPr>
            <w:noProof/>
            <w:webHidden/>
          </w:rPr>
        </w:r>
        <w:r w:rsidR="00875D01">
          <w:rPr>
            <w:noProof/>
            <w:webHidden/>
          </w:rPr>
          <w:fldChar w:fldCharType="separate"/>
        </w:r>
        <w:r w:rsidR="00875D01">
          <w:rPr>
            <w:noProof/>
            <w:webHidden/>
          </w:rPr>
          <w:t>16</w:t>
        </w:r>
        <w:r w:rsidR="00875D01">
          <w:rPr>
            <w:noProof/>
            <w:webHidden/>
          </w:rPr>
          <w:fldChar w:fldCharType="end"/>
        </w:r>
      </w:hyperlink>
    </w:p>
    <w:p w:rsidR="00875D01" w:rsidRDefault="009B18CC">
      <w:pPr>
        <w:pStyle w:val="TOC2"/>
        <w:tabs>
          <w:tab w:val="right" w:leader="dot" w:pos="9016"/>
        </w:tabs>
        <w:rPr>
          <w:rFonts w:eastAsiaTheme="minorEastAsia"/>
          <w:noProof/>
          <w:lang w:val="en-GB" w:eastAsia="en-GB"/>
        </w:rPr>
      </w:pPr>
      <w:hyperlink w:anchor="_Toc513221598" w:history="1">
        <w:r w:rsidR="00875D01" w:rsidRPr="0013588F">
          <w:rPr>
            <w:rStyle w:val="Hyperlink"/>
            <w:rFonts w:eastAsia="Times New Roman"/>
            <w:noProof/>
            <w:lang w:val="en-GB"/>
          </w:rPr>
          <w:t xml:space="preserve">7.1  Principal Programme </w:t>
        </w:r>
        <w:r w:rsidR="00875D01" w:rsidRPr="0013588F">
          <w:rPr>
            <w:rStyle w:val="Hyperlink"/>
            <w:noProof/>
            <w:lang w:val="en-GB"/>
          </w:rPr>
          <w:t>MA in Addiction Studies</w:t>
        </w:r>
        <w:r w:rsidR="00875D01">
          <w:rPr>
            <w:noProof/>
            <w:webHidden/>
          </w:rPr>
          <w:tab/>
        </w:r>
        <w:r w:rsidR="00875D01">
          <w:rPr>
            <w:noProof/>
            <w:webHidden/>
          </w:rPr>
          <w:fldChar w:fldCharType="begin"/>
        </w:r>
        <w:r w:rsidR="00875D01">
          <w:rPr>
            <w:noProof/>
            <w:webHidden/>
          </w:rPr>
          <w:instrText xml:space="preserve"> PAGEREF _Toc513221598 \h </w:instrText>
        </w:r>
        <w:r w:rsidR="00875D01">
          <w:rPr>
            <w:noProof/>
            <w:webHidden/>
          </w:rPr>
        </w:r>
        <w:r w:rsidR="00875D01">
          <w:rPr>
            <w:noProof/>
            <w:webHidden/>
          </w:rPr>
          <w:fldChar w:fldCharType="separate"/>
        </w:r>
        <w:r w:rsidR="00875D01">
          <w:rPr>
            <w:noProof/>
            <w:webHidden/>
          </w:rPr>
          <w:t>16</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599" w:history="1">
        <w:r w:rsidR="00875D01" w:rsidRPr="0013588F">
          <w:rPr>
            <w:rStyle w:val="Hyperlink"/>
            <w:noProof/>
            <w:lang w:val="en-GB"/>
          </w:rPr>
          <w:t>7.2</w:t>
        </w:r>
        <w:r w:rsidR="00875D01">
          <w:rPr>
            <w:rFonts w:eastAsiaTheme="minorEastAsia"/>
            <w:noProof/>
            <w:lang w:val="en-GB" w:eastAsia="en-GB"/>
          </w:rPr>
          <w:tab/>
        </w:r>
        <w:r w:rsidR="00875D01" w:rsidRPr="0013588F">
          <w:rPr>
            <w:rStyle w:val="Hyperlink"/>
            <w:noProof/>
            <w:lang w:val="en-GB"/>
          </w:rPr>
          <w:t>Postgraduate Diploma in Addiction Studies</w:t>
        </w:r>
        <w:r w:rsidR="00875D01">
          <w:rPr>
            <w:noProof/>
            <w:webHidden/>
          </w:rPr>
          <w:tab/>
        </w:r>
        <w:r w:rsidR="00875D01">
          <w:rPr>
            <w:noProof/>
            <w:webHidden/>
          </w:rPr>
          <w:fldChar w:fldCharType="begin"/>
        </w:r>
        <w:r w:rsidR="00875D01">
          <w:rPr>
            <w:noProof/>
            <w:webHidden/>
          </w:rPr>
          <w:instrText xml:space="preserve"> PAGEREF _Toc513221599 \h </w:instrText>
        </w:r>
        <w:r w:rsidR="00875D01">
          <w:rPr>
            <w:noProof/>
            <w:webHidden/>
          </w:rPr>
        </w:r>
        <w:r w:rsidR="00875D01">
          <w:rPr>
            <w:noProof/>
            <w:webHidden/>
          </w:rPr>
          <w:fldChar w:fldCharType="separate"/>
        </w:r>
        <w:r w:rsidR="00875D01">
          <w:rPr>
            <w:noProof/>
            <w:webHidden/>
          </w:rPr>
          <w:t>17</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00" w:history="1">
        <w:r w:rsidR="00875D01" w:rsidRPr="0013588F">
          <w:rPr>
            <w:rStyle w:val="Hyperlink"/>
            <w:noProof/>
          </w:rPr>
          <w:t>7.3</w:t>
        </w:r>
        <w:r w:rsidR="00875D01">
          <w:rPr>
            <w:rFonts w:eastAsiaTheme="minorEastAsia"/>
            <w:noProof/>
            <w:lang w:val="en-GB" w:eastAsia="en-GB"/>
          </w:rPr>
          <w:tab/>
        </w:r>
        <w:r w:rsidR="00875D01" w:rsidRPr="0013588F">
          <w:rPr>
            <w:rStyle w:val="Hyperlink"/>
            <w:noProof/>
          </w:rPr>
          <w:t>Principal Programme MA in Psychoanalytic Psychotherapy</w:t>
        </w:r>
        <w:r w:rsidR="00875D01">
          <w:rPr>
            <w:noProof/>
            <w:webHidden/>
          </w:rPr>
          <w:tab/>
        </w:r>
        <w:r w:rsidR="00875D01">
          <w:rPr>
            <w:noProof/>
            <w:webHidden/>
          </w:rPr>
          <w:fldChar w:fldCharType="begin"/>
        </w:r>
        <w:r w:rsidR="00875D01">
          <w:rPr>
            <w:noProof/>
            <w:webHidden/>
          </w:rPr>
          <w:instrText xml:space="preserve"> PAGEREF _Toc513221600 \h </w:instrText>
        </w:r>
        <w:r w:rsidR="00875D01">
          <w:rPr>
            <w:noProof/>
            <w:webHidden/>
          </w:rPr>
        </w:r>
        <w:r w:rsidR="00875D01">
          <w:rPr>
            <w:noProof/>
            <w:webHidden/>
          </w:rPr>
          <w:fldChar w:fldCharType="separate"/>
        </w:r>
        <w:r w:rsidR="00875D01">
          <w:rPr>
            <w:noProof/>
            <w:webHidden/>
          </w:rPr>
          <w:t>18</w:t>
        </w:r>
        <w:r w:rsidR="00875D01">
          <w:rPr>
            <w:noProof/>
            <w:webHidden/>
          </w:rPr>
          <w:fldChar w:fldCharType="end"/>
        </w:r>
      </w:hyperlink>
    </w:p>
    <w:p w:rsidR="00875D01" w:rsidRDefault="009B18CC">
      <w:pPr>
        <w:pStyle w:val="TOC2"/>
        <w:tabs>
          <w:tab w:val="right" w:leader="dot" w:pos="9016"/>
        </w:tabs>
        <w:rPr>
          <w:rFonts w:eastAsiaTheme="minorEastAsia"/>
          <w:noProof/>
          <w:lang w:val="en-GB" w:eastAsia="en-GB"/>
        </w:rPr>
      </w:pPr>
      <w:hyperlink w:anchor="_Toc513221601" w:history="1">
        <w:r w:rsidR="00875D01" w:rsidRPr="0013588F">
          <w:rPr>
            <w:rStyle w:val="Hyperlink"/>
            <w:rFonts w:eastAsia="Times New Roman"/>
            <w:noProof/>
          </w:rPr>
          <w:t>Other noteworthy features of the application</w:t>
        </w:r>
        <w:r w:rsidR="00875D01">
          <w:rPr>
            <w:noProof/>
            <w:webHidden/>
          </w:rPr>
          <w:tab/>
        </w:r>
        <w:r w:rsidR="00875D01">
          <w:rPr>
            <w:noProof/>
            <w:webHidden/>
          </w:rPr>
          <w:fldChar w:fldCharType="begin"/>
        </w:r>
        <w:r w:rsidR="00875D01">
          <w:rPr>
            <w:noProof/>
            <w:webHidden/>
          </w:rPr>
          <w:instrText xml:space="preserve"> PAGEREF _Toc513221601 \h </w:instrText>
        </w:r>
        <w:r w:rsidR="00875D01">
          <w:rPr>
            <w:noProof/>
            <w:webHidden/>
          </w:rPr>
        </w:r>
        <w:r w:rsidR="00875D01">
          <w:rPr>
            <w:noProof/>
            <w:webHidden/>
          </w:rPr>
          <w:fldChar w:fldCharType="separate"/>
        </w:r>
        <w:r w:rsidR="00875D01">
          <w:rPr>
            <w:noProof/>
            <w:webHidden/>
          </w:rPr>
          <w:t>20</w:t>
        </w:r>
        <w:r w:rsidR="00875D01">
          <w:rPr>
            <w:noProof/>
            <w:webHidden/>
          </w:rPr>
          <w:fldChar w:fldCharType="end"/>
        </w:r>
      </w:hyperlink>
    </w:p>
    <w:p w:rsidR="00875D01" w:rsidRDefault="009B18CC">
      <w:pPr>
        <w:pStyle w:val="TOC1"/>
        <w:tabs>
          <w:tab w:val="right" w:leader="dot" w:pos="9016"/>
        </w:tabs>
        <w:rPr>
          <w:rFonts w:eastAsiaTheme="minorEastAsia"/>
          <w:noProof/>
          <w:lang w:val="en-GB" w:eastAsia="en-GB"/>
        </w:rPr>
      </w:pPr>
      <w:hyperlink w:anchor="_Toc513221602" w:history="1">
        <w:r w:rsidR="00875D01" w:rsidRPr="0013588F">
          <w:rPr>
            <w:rStyle w:val="Hyperlink"/>
            <w:noProof/>
          </w:rPr>
          <w:t>Part 2 Evaluation against the validation criteria</w:t>
        </w:r>
        <w:r w:rsidR="00875D01">
          <w:rPr>
            <w:noProof/>
            <w:webHidden/>
          </w:rPr>
          <w:tab/>
        </w:r>
        <w:r w:rsidR="00875D01">
          <w:rPr>
            <w:noProof/>
            <w:webHidden/>
          </w:rPr>
          <w:fldChar w:fldCharType="begin"/>
        </w:r>
        <w:r w:rsidR="00875D01">
          <w:rPr>
            <w:noProof/>
            <w:webHidden/>
          </w:rPr>
          <w:instrText xml:space="preserve"> PAGEREF _Toc513221602 \h </w:instrText>
        </w:r>
        <w:r w:rsidR="00875D01">
          <w:rPr>
            <w:noProof/>
            <w:webHidden/>
          </w:rPr>
        </w:r>
        <w:r w:rsidR="00875D01">
          <w:rPr>
            <w:noProof/>
            <w:webHidden/>
          </w:rPr>
          <w:fldChar w:fldCharType="separate"/>
        </w:r>
        <w:r w:rsidR="00875D01">
          <w:rPr>
            <w:noProof/>
            <w:webHidden/>
          </w:rPr>
          <w:t>21</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03" w:history="1">
        <w:r w:rsidR="00875D01" w:rsidRPr="0013588F">
          <w:rPr>
            <w:rStyle w:val="Hyperlink"/>
            <w:rFonts w:eastAsia="Times New Roman"/>
            <w:noProof/>
          </w:rPr>
          <w:t>7.4</w:t>
        </w:r>
        <w:r w:rsidR="00875D01">
          <w:rPr>
            <w:rFonts w:eastAsiaTheme="minorEastAsia"/>
            <w:noProof/>
            <w:lang w:val="en-GB" w:eastAsia="en-GB"/>
          </w:rPr>
          <w:tab/>
        </w:r>
        <w:r w:rsidR="00875D01" w:rsidRPr="0013588F">
          <w:rPr>
            <w:rStyle w:val="Hyperlink"/>
            <w:rFonts w:eastAsia="Times New Roman"/>
            <w:noProof/>
          </w:rPr>
          <w:t>Criterion1: The provider is eligible to apply for validation of the programme</w:t>
        </w:r>
        <w:r w:rsidR="00875D01">
          <w:rPr>
            <w:noProof/>
            <w:webHidden/>
          </w:rPr>
          <w:tab/>
        </w:r>
        <w:r w:rsidR="00875D01">
          <w:rPr>
            <w:noProof/>
            <w:webHidden/>
          </w:rPr>
          <w:fldChar w:fldCharType="begin"/>
        </w:r>
        <w:r w:rsidR="00875D01">
          <w:rPr>
            <w:noProof/>
            <w:webHidden/>
          </w:rPr>
          <w:instrText xml:space="preserve"> PAGEREF _Toc513221603 \h </w:instrText>
        </w:r>
        <w:r w:rsidR="00875D01">
          <w:rPr>
            <w:noProof/>
            <w:webHidden/>
          </w:rPr>
        </w:r>
        <w:r w:rsidR="00875D01">
          <w:rPr>
            <w:noProof/>
            <w:webHidden/>
          </w:rPr>
          <w:fldChar w:fldCharType="separate"/>
        </w:r>
        <w:r w:rsidR="00875D01">
          <w:rPr>
            <w:noProof/>
            <w:webHidden/>
          </w:rPr>
          <w:t>21</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04" w:history="1">
        <w:r w:rsidR="00875D01" w:rsidRPr="0013588F">
          <w:rPr>
            <w:rStyle w:val="Hyperlink"/>
            <w:rFonts w:eastAsia="Times New Roman"/>
            <w:noProof/>
            <w:lang w:val="en-GB"/>
          </w:rPr>
          <w:t>7.5</w:t>
        </w:r>
        <w:r w:rsidR="00875D01">
          <w:rPr>
            <w:rFonts w:eastAsiaTheme="minorEastAsia"/>
            <w:noProof/>
            <w:lang w:val="en-GB" w:eastAsia="en-GB"/>
          </w:rPr>
          <w:tab/>
        </w:r>
        <w:r w:rsidR="00875D01" w:rsidRPr="0013588F">
          <w:rPr>
            <w:rStyle w:val="Hyperlink"/>
            <w:rFonts w:eastAsia="Times New Roman"/>
            <w:noProof/>
            <w:lang w:val="en-GB"/>
          </w:rPr>
          <w:t xml:space="preserve">Criterion 2: The </w:t>
        </w:r>
        <w:r w:rsidR="00875D01" w:rsidRPr="0013588F">
          <w:rPr>
            <w:rStyle w:val="Hyperlink"/>
            <w:noProof/>
          </w:rPr>
          <w:t>programme</w:t>
        </w:r>
        <w:r w:rsidR="00875D01" w:rsidRPr="0013588F">
          <w:rPr>
            <w:rStyle w:val="Hyperlink"/>
            <w:rFonts w:eastAsia="Times New Roman"/>
            <w:noProof/>
            <w:lang w:val="en-GB"/>
          </w:rPr>
          <w:t xml:space="preserve"> objectives and outcomes are clear and consistent with the QQI awards sought</w:t>
        </w:r>
        <w:r w:rsidR="00875D01">
          <w:rPr>
            <w:noProof/>
            <w:webHidden/>
          </w:rPr>
          <w:tab/>
        </w:r>
        <w:r w:rsidR="00875D01">
          <w:rPr>
            <w:noProof/>
            <w:webHidden/>
          </w:rPr>
          <w:fldChar w:fldCharType="begin"/>
        </w:r>
        <w:r w:rsidR="00875D01">
          <w:rPr>
            <w:noProof/>
            <w:webHidden/>
          </w:rPr>
          <w:instrText xml:space="preserve"> PAGEREF _Toc513221604 \h </w:instrText>
        </w:r>
        <w:r w:rsidR="00875D01">
          <w:rPr>
            <w:noProof/>
            <w:webHidden/>
          </w:rPr>
        </w:r>
        <w:r w:rsidR="00875D01">
          <w:rPr>
            <w:noProof/>
            <w:webHidden/>
          </w:rPr>
          <w:fldChar w:fldCharType="separate"/>
        </w:r>
        <w:r w:rsidR="00875D01">
          <w:rPr>
            <w:noProof/>
            <w:webHidden/>
          </w:rPr>
          <w:t>21</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05" w:history="1">
        <w:r w:rsidR="00875D01" w:rsidRPr="0013588F">
          <w:rPr>
            <w:rStyle w:val="Hyperlink"/>
            <w:rFonts w:eastAsia="Times New Roman"/>
            <w:noProof/>
          </w:rPr>
          <w:t>7.6</w:t>
        </w:r>
        <w:r w:rsidR="00875D01">
          <w:rPr>
            <w:rFonts w:eastAsiaTheme="minorEastAsia"/>
            <w:noProof/>
            <w:lang w:val="en-GB" w:eastAsia="en-GB"/>
          </w:rPr>
          <w:tab/>
        </w:r>
        <w:r w:rsidR="00875D01" w:rsidRPr="0013588F">
          <w:rPr>
            <w:rStyle w:val="Hyperlink"/>
            <w:rFonts w:eastAsia="Calibri"/>
            <w:noProof/>
            <w:lang w:val="en-GB" w:eastAsia="en-IE"/>
          </w:rPr>
          <w:t xml:space="preserve">Criterion 3: The </w:t>
        </w:r>
        <w:r w:rsidR="00875D01" w:rsidRPr="0013588F">
          <w:rPr>
            <w:rStyle w:val="Hyperlink"/>
            <w:rFonts w:eastAsia="Calibri"/>
            <w:noProof/>
            <w:lang w:eastAsia="en-IE"/>
          </w:rPr>
          <w:t>programme concept, implementation strategy, and its interpretation of QQI awards standards are well informed and soundly based</w:t>
        </w:r>
        <w:r w:rsidR="00875D01" w:rsidRPr="0013588F">
          <w:rPr>
            <w:rStyle w:val="Hyperlink"/>
            <w:rFonts w:ascii="Calibri" w:eastAsia="Times New Roman" w:hAnsi="Calibri"/>
            <w:noProof/>
          </w:rPr>
          <w:t xml:space="preserve"> </w:t>
        </w:r>
        <w:r w:rsidR="00875D01" w:rsidRPr="0013588F">
          <w:rPr>
            <w:rStyle w:val="Hyperlink"/>
            <w:rFonts w:eastAsia="Calibri"/>
            <w:noProof/>
            <w:lang w:eastAsia="en-IE"/>
          </w:rPr>
          <w:t>(considering social, cultural, educational, professional and employment objectives).</w:t>
        </w:r>
        <w:r w:rsidR="00875D01">
          <w:rPr>
            <w:noProof/>
            <w:webHidden/>
          </w:rPr>
          <w:tab/>
        </w:r>
        <w:r w:rsidR="00875D01">
          <w:rPr>
            <w:noProof/>
            <w:webHidden/>
          </w:rPr>
          <w:fldChar w:fldCharType="begin"/>
        </w:r>
        <w:r w:rsidR="00875D01">
          <w:rPr>
            <w:noProof/>
            <w:webHidden/>
          </w:rPr>
          <w:instrText xml:space="preserve"> PAGEREF _Toc513221605 \h </w:instrText>
        </w:r>
        <w:r w:rsidR="00875D01">
          <w:rPr>
            <w:noProof/>
            <w:webHidden/>
          </w:rPr>
        </w:r>
        <w:r w:rsidR="00875D01">
          <w:rPr>
            <w:noProof/>
            <w:webHidden/>
          </w:rPr>
          <w:fldChar w:fldCharType="separate"/>
        </w:r>
        <w:r w:rsidR="00875D01">
          <w:rPr>
            <w:noProof/>
            <w:webHidden/>
          </w:rPr>
          <w:t>23</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06" w:history="1">
        <w:r w:rsidR="00875D01" w:rsidRPr="0013588F">
          <w:rPr>
            <w:rStyle w:val="Hyperlink"/>
            <w:rFonts w:eastAsia="Times New Roman"/>
            <w:noProof/>
            <w:lang w:val="en-GB"/>
          </w:rPr>
          <w:t>7.7</w:t>
        </w:r>
        <w:r w:rsidR="00875D01">
          <w:rPr>
            <w:rFonts w:eastAsiaTheme="minorEastAsia"/>
            <w:noProof/>
            <w:lang w:val="en-GB" w:eastAsia="en-GB"/>
          </w:rPr>
          <w:tab/>
        </w:r>
        <w:r w:rsidR="00875D01" w:rsidRPr="0013588F">
          <w:rPr>
            <w:rStyle w:val="Hyperlink"/>
            <w:rFonts w:eastAsia="Times New Roman"/>
            <w:noProof/>
            <w:lang w:val="en-GB"/>
          </w:rPr>
          <w:t>Criterion 4: The programme’s access, transfer and progression arrangements are satisfactory</w:t>
        </w:r>
        <w:r w:rsidR="00875D01">
          <w:rPr>
            <w:noProof/>
            <w:webHidden/>
          </w:rPr>
          <w:tab/>
        </w:r>
        <w:r w:rsidR="00875D01">
          <w:rPr>
            <w:noProof/>
            <w:webHidden/>
          </w:rPr>
          <w:fldChar w:fldCharType="begin"/>
        </w:r>
        <w:r w:rsidR="00875D01">
          <w:rPr>
            <w:noProof/>
            <w:webHidden/>
          </w:rPr>
          <w:instrText xml:space="preserve"> PAGEREF _Toc513221606 \h </w:instrText>
        </w:r>
        <w:r w:rsidR="00875D01">
          <w:rPr>
            <w:noProof/>
            <w:webHidden/>
          </w:rPr>
        </w:r>
        <w:r w:rsidR="00875D01">
          <w:rPr>
            <w:noProof/>
            <w:webHidden/>
          </w:rPr>
          <w:fldChar w:fldCharType="separate"/>
        </w:r>
        <w:r w:rsidR="00875D01">
          <w:rPr>
            <w:noProof/>
            <w:webHidden/>
          </w:rPr>
          <w:t>25</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07" w:history="1">
        <w:r w:rsidR="00875D01" w:rsidRPr="0013588F">
          <w:rPr>
            <w:rStyle w:val="Hyperlink"/>
            <w:noProof/>
            <w:lang w:val="en-GB"/>
          </w:rPr>
          <w:t>7.8</w:t>
        </w:r>
        <w:r w:rsidR="00875D01">
          <w:rPr>
            <w:rFonts w:eastAsiaTheme="minorEastAsia"/>
            <w:noProof/>
            <w:lang w:val="en-GB" w:eastAsia="en-GB"/>
          </w:rPr>
          <w:tab/>
        </w:r>
        <w:r w:rsidR="00875D01" w:rsidRPr="0013588F">
          <w:rPr>
            <w:rStyle w:val="Hyperlink"/>
            <w:rFonts w:eastAsia="Times New Roman"/>
            <w:noProof/>
            <w:lang w:val="en-GB"/>
          </w:rPr>
          <w:t>Criterion 5: The programme’s written curriculum is well structured and fit-for-purpose</w:t>
        </w:r>
        <w:r w:rsidR="00875D01">
          <w:rPr>
            <w:noProof/>
            <w:webHidden/>
          </w:rPr>
          <w:tab/>
        </w:r>
        <w:r w:rsidR="00875D01">
          <w:rPr>
            <w:noProof/>
            <w:webHidden/>
          </w:rPr>
          <w:fldChar w:fldCharType="begin"/>
        </w:r>
        <w:r w:rsidR="00875D01">
          <w:rPr>
            <w:noProof/>
            <w:webHidden/>
          </w:rPr>
          <w:instrText xml:space="preserve"> PAGEREF _Toc513221607 \h </w:instrText>
        </w:r>
        <w:r w:rsidR="00875D01">
          <w:rPr>
            <w:noProof/>
            <w:webHidden/>
          </w:rPr>
        </w:r>
        <w:r w:rsidR="00875D01">
          <w:rPr>
            <w:noProof/>
            <w:webHidden/>
          </w:rPr>
          <w:fldChar w:fldCharType="separate"/>
        </w:r>
        <w:r w:rsidR="00875D01">
          <w:rPr>
            <w:noProof/>
            <w:webHidden/>
          </w:rPr>
          <w:t>26</w:t>
        </w:r>
        <w:r w:rsidR="00875D01">
          <w:rPr>
            <w:noProof/>
            <w:webHidden/>
          </w:rPr>
          <w:fldChar w:fldCharType="end"/>
        </w:r>
      </w:hyperlink>
    </w:p>
    <w:p w:rsidR="00875D01" w:rsidRDefault="009B18CC">
      <w:pPr>
        <w:pStyle w:val="TOC2"/>
        <w:tabs>
          <w:tab w:val="right" w:leader="dot" w:pos="9016"/>
        </w:tabs>
        <w:rPr>
          <w:rFonts w:eastAsiaTheme="minorEastAsia"/>
          <w:noProof/>
          <w:lang w:val="en-GB" w:eastAsia="en-GB"/>
        </w:rPr>
      </w:pPr>
      <w:hyperlink w:anchor="_Toc513221608" w:history="1">
        <w:r w:rsidR="00875D01" w:rsidRPr="0013588F">
          <w:rPr>
            <w:rStyle w:val="Hyperlink"/>
            <w:rFonts w:eastAsia="Times New Roman"/>
            <w:noProof/>
            <w:lang w:val="en-GB"/>
          </w:rPr>
          <w:t>7.10: Criterion 6: There are sufficient qualified and capable programme staff available to implement the programme as planned</w:t>
        </w:r>
        <w:r w:rsidR="00875D01">
          <w:rPr>
            <w:noProof/>
            <w:webHidden/>
          </w:rPr>
          <w:tab/>
        </w:r>
        <w:r w:rsidR="00875D01">
          <w:rPr>
            <w:noProof/>
            <w:webHidden/>
          </w:rPr>
          <w:fldChar w:fldCharType="begin"/>
        </w:r>
        <w:r w:rsidR="00875D01">
          <w:rPr>
            <w:noProof/>
            <w:webHidden/>
          </w:rPr>
          <w:instrText xml:space="preserve"> PAGEREF _Toc513221608 \h </w:instrText>
        </w:r>
        <w:r w:rsidR="00875D01">
          <w:rPr>
            <w:noProof/>
            <w:webHidden/>
          </w:rPr>
        </w:r>
        <w:r w:rsidR="00875D01">
          <w:rPr>
            <w:noProof/>
            <w:webHidden/>
          </w:rPr>
          <w:fldChar w:fldCharType="separate"/>
        </w:r>
        <w:r w:rsidR="00875D01">
          <w:rPr>
            <w:noProof/>
            <w:webHidden/>
          </w:rPr>
          <w:t>28</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09" w:history="1">
        <w:r w:rsidR="00875D01" w:rsidRPr="0013588F">
          <w:rPr>
            <w:rStyle w:val="Hyperlink"/>
            <w:rFonts w:eastAsia="Times New Roman"/>
            <w:noProof/>
          </w:rPr>
          <w:t>7.9</w:t>
        </w:r>
        <w:r w:rsidR="00875D01">
          <w:rPr>
            <w:rFonts w:eastAsiaTheme="minorEastAsia"/>
            <w:noProof/>
            <w:lang w:val="en-GB" w:eastAsia="en-GB"/>
          </w:rPr>
          <w:tab/>
        </w:r>
        <w:r w:rsidR="00875D01" w:rsidRPr="0013588F">
          <w:rPr>
            <w:rStyle w:val="Hyperlink"/>
            <w:rFonts w:eastAsia="Times New Roman"/>
            <w:noProof/>
          </w:rPr>
          <w:t>Criterion 7:</w:t>
        </w:r>
        <w:r w:rsidR="00875D01" w:rsidRPr="0013588F">
          <w:rPr>
            <w:rStyle w:val="Hyperlink"/>
            <w:noProof/>
          </w:rPr>
          <w:t xml:space="preserve"> </w:t>
        </w:r>
        <w:r w:rsidR="00875D01" w:rsidRPr="0013588F">
          <w:rPr>
            <w:rStyle w:val="Hyperlink"/>
            <w:rFonts w:eastAsia="Times New Roman"/>
            <w:noProof/>
          </w:rPr>
          <w:t>There are sufficient physical resources to implement the programme as planned</w:t>
        </w:r>
        <w:r w:rsidR="00875D01">
          <w:rPr>
            <w:noProof/>
            <w:webHidden/>
          </w:rPr>
          <w:tab/>
        </w:r>
        <w:r w:rsidR="00875D01">
          <w:rPr>
            <w:noProof/>
            <w:webHidden/>
          </w:rPr>
          <w:fldChar w:fldCharType="begin"/>
        </w:r>
        <w:r w:rsidR="00875D01">
          <w:rPr>
            <w:noProof/>
            <w:webHidden/>
          </w:rPr>
          <w:instrText xml:space="preserve"> PAGEREF _Toc513221609 \h </w:instrText>
        </w:r>
        <w:r w:rsidR="00875D01">
          <w:rPr>
            <w:noProof/>
            <w:webHidden/>
          </w:rPr>
        </w:r>
        <w:r w:rsidR="00875D01">
          <w:rPr>
            <w:noProof/>
            <w:webHidden/>
          </w:rPr>
          <w:fldChar w:fldCharType="separate"/>
        </w:r>
        <w:r w:rsidR="00875D01">
          <w:rPr>
            <w:noProof/>
            <w:webHidden/>
          </w:rPr>
          <w:t>30</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10" w:history="1">
        <w:r w:rsidR="00875D01" w:rsidRPr="0013588F">
          <w:rPr>
            <w:rStyle w:val="Hyperlink"/>
            <w:rFonts w:eastAsia="Times New Roman"/>
            <w:noProof/>
          </w:rPr>
          <w:t>7.10</w:t>
        </w:r>
        <w:r w:rsidR="00875D01">
          <w:rPr>
            <w:rFonts w:eastAsiaTheme="minorEastAsia"/>
            <w:noProof/>
            <w:lang w:val="en-GB" w:eastAsia="en-GB"/>
          </w:rPr>
          <w:tab/>
        </w:r>
        <w:r w:rsidR="00875D01" w:rsidRPr="0013588F">
          <w:rPr>
            <w:rStyle w:val="Hyperlink"/>
            <w:rFonts w:eastAsia="Times New Roman"/>
            <w:noProof/>
          </w:rPr>
          <w:t>Criterion 8: The learning environment is consistent with the needs of the programme’s learners</w:t>
        </w:r>
        <w:r w:rsidR="00875D01">
          <w:rPr>
            <w:noProof/>
            <w:webHidden/>
          </w:rPr>
          <w:tab/>
        </w:r>
        <w:r w:rsidR="00875D01">
          <w:rPr>
            <w:noProof/>
            <w:webHidden/>
          </w:rPr>
          <w:fldChar w:fldCharType="begin"/>
        </w:r>
        <w:r w:rsidR="00875D01">
          <w:rPr>
            <w:noProof/>
            <w:webHidden/>
          </w:rPr>
          <w:instrText xml:space="preserve"> PAGEREF _Toc513221610 \h </w:instrText>
        </w:r>
        <w:r w:rsidR="00875D01">
          <w:rPr>
            <w:noProof/>
            <w:webHidden/>
          </w:rPr>
        </w:r>
        <w:r w:rsidR="00875D01">
          <w:rPr>
            <w:noProof/>
            <w:webHidden/>
          </w:rPr>
          <w:fldChar w:fldCharType="separate"/>
        </w:r>
        <w:r w:rsidR="00875D01">
          <w:rPr>
            <w:noProof/>
            <w:webHidden/>
          </w:rPr>
          <w:t>31</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11" w:history="1">
        <w:r w:rsidR="00875D01" w:rsidRPr="0013588F">
          <w:rPr>
            <w:rStyle w:val="Hyperlink"/>
            <w:rFonts w:eastAsia="Times New Roman"/>
            <w:noProof/>
          </w:rPr>
          <w:t>7.11</w:t>
        </w:r>
        <w:r w:rsidR="00875D01">
          <w:rPr>
            <w:rFonts w:eastAsiaTheme="minorEastAsia"/>
            <w:noProof/>
            <w:lang w:val="en-GB" w:eastAsia="en-GB"/>
          </w:rPr>
          <w:tab/>
        </w:r>
        <w:r w:rsidR="00875D01" w:rsidRPr="0013588F">
          <w:rPr>
            <w:rStyle w:val="Hyperlink"/>
            <w:rFonts w:eastAsia="Times New Roman"/>
            <w:noProof/>
          </w:rPr>
          <w:t>Criterion 9: There are sound teaching and learning strategies</w:t>
        </w:r>
        <w:r w:rsidR="00875D01">
          <w:rPr>
            <w:noProof/>
            <w:webHidden/>
          </w:rPr>
          <w:tab/>
        </w:r>
        <w:r w:rsidR="00875D01">
          <w:rPr>
            <w:noProof/>
            <w:webHidden/>
          </w:rPr>
          <w:fldChar w:fldCharType="begin"/>
        </w:r>
        <w:r w:rsidR="00875D01">
          <w:rPr>
            <w:noProof/>
            <w:webHidden/>
          </w:rPr>
          <w:instrText xml:space="preserve"> PAGEREF _Toc513221611 \h </w:instrText>
        </w:r>
        <w:r w:rsidR="00875D01">
          <w:rPr>
            <w:noProof/>
            <w:webHidden/>
          </w:rPr>
        </w:r>
        <w:r w:rsidR="00875D01">
          <w:rPr>
            <w:noProof/>
            <w:webHidden/>
          </w:rPr>
          <w:fldChar w:fldCharType="separate"/>
        </w:r>
        <w:r w:rsidR="00875D01">
          <w:rPr>
            <w:noProof/>
            <w:webHidden/>
          </w:rPr>
          <w:t>32</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12" w:history="1">
        <w:r w:rsidR="00875D01" w:rsidRPr="0013588F">
          <w:rPr>
            <w:rStyle w:val="Hyperlink"/>
            <w:rFonts w:eastAsia="Times New Roman"/>
            <w:noProof/>
          </w:rPr>
          <w:t>7.12</w:t>
        </w:r>
        <w:r w:rsidR="00875D01">
          <w:rPr>
            <w:rFonts w:eastAsiaTheme="minorEastAsia"/>
            <w:noProof/>
            <w:lang w:val="en-GB" w:eastAsia="en-GB"/>
          </w:rPr>
          <w:tab/>
        </w:r>
        <w:r w:rsidR="00875D01" w:rsidRPr="0013588F">
          <w:rPr>
            <w:rStyle w:val="Hyperlink"/>
            <w:rFonts w:eastAsia="Times New Roman"/>
            <w:noProof/>
          </w:rPr>
          <w:t>Criterion 10: There are sound assessment strategies</w:t>
        </w:r>
        <w:r w:rsidR="00875D01">
          <w:rPr>
            <w:noProof/>
            <w:webHidden/>
          </w:rPr>
          <w:tab/>
        </w:r>
        <w:r w:rsidR="00875D01">
          <w:rPr>
            <w:noProof/>
            <w:webHidden/>
          </w:rPr>
          <w:fldChar w:fldCharType="begin"/>
        </w:r>
        <w:r w:rsidR="00875D01">
          <w:rPr>
            <w:noProof/>
            <w:webHidden/>
          </w:rPr>
          <w:instrText xml:space="preserve"> PAGEREF _Toc513221612 \h </w:instrText>
        </w:r>
        <w:r w:rsidR="00875D01">
          <w:rPr>
            <w:noProof/>
            <w:webHidden/>
          </w:rPr>
        </w:r>
        <w:r w:rsidR="00875D01">
          <w:rPr>
            <w:noProof/>
            <w:webHidden/>
          </w:rPr>
          <w:fldChar w:fldCharType="separate"/>
        </w:r>
        <w:r w:rsidR="00875D01">
          <w:rPr>
            <w:noProof/>
            <w:webHidden/>
          </w:rPr>
          <w:t>33</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13" w:history="1">
        <w:r w:rsidR="00875D01" w:rsidRPr="0013588F">
          <w:rPr>
            <w:rStyle w:val="Hyperlink"/>
            <w:rFonts w:eastAsia="Times New Roman"/>
            <w:noProof/>
          </w:rPr>
          <w:t>7.13</w:t>
        </w:r>
        <w:r w:rsidR="00875D01">
          <w:rPr>
            <w:rFonts w:eastAsiaTheme="minorEastAsia"/>
            <w:noProof/>
            <w:lang w:val="en-GB" w:eastAsia="en-GB"/>
          </w:rPr>
          <w:tab/>
        </w:r>
        <w:r w:rsidR="00875D01" w:rsidRPr="0013588F">
          <w:rPr>
            <w:rStyle w:val="Hyperlink"/>
            <w:rFonts w:eastAsia="Times New Roman"/>
            <w:noProof/>
          </w:rPr>
          <w:t>Criterion 11: Learners enrolled on the programme are well informed, guided and cared for</w:t>
        </w:r>
        <w:r w:rsidR="00875D01">
          <w:rPr>
            <w:noProof/>
            <w:webHidden/>
          </w:rPr>
          <w:tab/>
        </w:r>
        <w:r w:rsidR="00875D01">
          <w:rPr>
            <w:noProof/>
            <w:webHidden/>
          </w:rPr>
          <w:fldChar w:fldCharType="begin"/>
        </w:r>
        <w:r w:rsidR="00875D01">
          <w:rPr>
            <w:noProof/>
            <w:webHidden/>
          </w:rPr>
          <w:instrText xml:space="preserve"> PAGEREF _Toc513221613 \h </w:instrText>
        </w:r>
        <w:r w:rsidR="00875D01">
          <w:rPr>
            <w:noProof/>
            <w:webHidden/>
          </w:rPr>
        </w:r>
        <w:r w:rsidR="00875D01">
          <w:rPr>
            <w:noProof/>
            <w:webHidden/>
          </w:rPr>
          <w:fldChar w:fldCharType="separate"/>
        </w:r>
        <w:r w:rsidR="00875D01">
          <w:rPr>
            <w:noProof/>
            <w:webHidden/>
          </w:rPr>
          <w:t>34</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14" w:history="1">
        <w:r w:rsidR="00875D01" w:rsidRPr="0013588F">
          <w:rPr>
            <w:rStyle w:val="Hyperlink"/>
            <w:rFonts w:eastAsia="Times New Roman"/>
            <w:noProof/>
          </w:rPr>
          <w:t>7.14</w:t>
        </w:r>
        <w:r w:rsidR="00875D01">
          <w:rPr>
            <w:rFonts w:eastAsiaTheme="minorEastAsia"/>
            <w:noProof/>
            <w:lang w:val="en-GB" w:eastAsia="en-GB"/>
          </w:rPr>
          <w:tab/>
        </w:r>
        <w:r w:rsidR="00875D01" w:rsidRPr="0013588F">
          <w:rPr>
            <w:rStyle w:val="Hyperlink"/>
            <w:rFonts w:eastAsia="Times New Roman"/>
            <w:noProof/>
          </w:rPr>
          <w:t>Criterion 12: The programme is well managed</w:t>
        </w:r>
        <w:r w:rsidR="00875D01">
          <w:rPr>
            <w:noProof/>
            <w:webHidden/>
          </w:rPr>
          <w:tab/>
        </w:r>
        <w:r w:rsidR="00875D01">
          <w:rPr>
            <w:noProof/>
            <w:webHidden/>
          </w:rPr>
          <w:fldChar w:fldCharType="begin"/>
        </w:r>
        <w:r w:rsidR="00875D01">
          <w:rPr>
            <w:noProof/>
            <w:webHidden/>
          </w:rPr>
          <w:instrText xml:space="preserve"> PAGEREF _Toc513221614 \h </w:instrText>
        </w:r>
        <w:r w:rsidR="00875D01">
          <w:rPr>
            <w:noProof/>
            <w:webHidden/>
          </w:rPr>
        </w:r>
        <w:r w:rsidR="00875D01">
          <w:rPr>
            <w:noProof/>
            <w:webHidden/>
          </w:rPr>
          <w:fldChar w:fldCharType="separate"/>
        </w:r>
        <w:r w:rsidR="00875D01">
          <w:rPr>
            <w:noProof/>
            <w:webHidden/>
          </w:rPr>
          <w:t>36</w:t>
        </w:r>
        <w:r w:rsidR="00875D01">
          <w:rPr>
            <w:noProof/>
            <w:webHidden/>
          </w:rPr>
          <w:fldChar w:fldCharType="end"/>
        </w:r>
      </w:hyperlink>
    </w:p>
    <w:p w:rsidR="00875D01" w:rsidRDefault="009B18CC">
      <w:pPr>
        <w:pStyle w:val="TOC1"/>
        <w:tabs>
          <w:tab w:val="left" w:pos="440"/>
          <w:tab w:val="right" w:leader="dot" w:pos="9016"/>
        </w:tabs>
        <w:rPr>
          <w:rFonts w:eastAsiaTheme="minorEastAsia"/>
          <w:noProof/>
          <w:lang w:val="en-GB" w:eastAsia="en-GB"/>
        </w:rPr>
      </w:pPr>
      <w:hyperlink w:anchor="_Toc513221615" w:history="1">
        <w:r w:rsidR="00875D01" w:rsidRPr="0013588F">
          <w:rPr>
            <w:rStyle w:val="Hyperlink"/>
            <w:noProof/>
          </w:rPr>
          <w:t>8</w:t>
        </w:r>
        <w:r w:rsidR="00875D01">
          <w:rPr>
            <w:rFonts w:eastAsiaTheme="minorEastAsia"/>
            <w:noProof/>
            <w:lang w:val="en-GB" w:eastAsia="en-GB"/>
          </w:rPr>
          <w:tab/>
        </w:r>
        <w:r w:rsidR="00875D01" w:rsidRPr="0013588F">
          <w:rPr>
            <w:rStyle w:val="Hyperlink"/>
            <w:noProof/>
          </w:rPr>
          <w:t>Overall recommendation to DBS</w:t>
        </w:r>
        <w:r w:rsidR="00875D01">
          <w:rPr>
            <w:noProof/>
            <w:webHidden/>
          </w:rPr>
          <w:tab/>
        </w:r>
        <w:r w:rsidR="00875D01">
          <w:rPr>
            <w:noProof/>
            <w:webHidden/>
          </w:rPr>
          <w:fldChar w:fldCharType="begin"/>
        </w:r>
        <w:r w:rsidR="00875D01">
          <w:rPr>
            <w:noProof/>
            <w:webHidden/>
          </w:rPr>
          <w:instrText xml:space="preserve"> PAGEREF _Toc513221615 \h </w:instrText>
        </w:r>
        <w:r w:rsidR="00875D01">
          <w:rPr>
            <w:noProof/>
            <w:webHidden/>
          </w:rPr>
        </w:r>
        <w:r w:rsidR="00875D01">
          <w:rPr>
            <w:noProof/>
            <w:webHidden/>
          </w:rPr>
          <w:fldChar w:fldCharType="separate"/>
        </w:r>
        <w:r w:rsidR="00875D01">
          <w:rPr>
            <w:noProof/>
            <w:webHidden/>
          </w:rPr>
          <w:t>38</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16" w:history="1">
        <w:r w:rsidR="00875D01" w:rsidRPr="0013588F">
          <w:rPr>
            <w:rStyle w:val="Hyperlink"/>
            <w:noProof/>
          </w:rPr>
          <w:t>8.1</w:t>
        </w:r>
        <w:r w:rsidR="00875D01">
          <w:rPr>
            <w:rFonts w:eastAsiaTheme="minorEastAsia"/>
            <w:noProof/>
            <w:lang w:val="en-GB" w:eastAsia="en-GB"/>
          </w:rPr>
          <w:tab/>
        </w:r>
        <w:r w:rsidR="00875D01" w:rsidRPr="0013588F">
          <w:rPr>
            <w:rStyle w:val="Hyperlink"/>
            <w:noProof/>
          </w:rPr>
          <w:t>Reasons for the overall recommendation</w:t>
        </w:r>
        <w:r w:rsidR="00875D01">
          <w:rPr>
            <w:noProof/>
            <w:webHidden/>
          </w:rPr>
          <w:tab/>
        </w:r>
        <w:r w:rsidR="00875D01">
          <w:rPr>
            <w:noProof/>
            <w:webHidden/>
          </w:rPr>
          <w:fldChar w:fldCharType="begin"/>
        </w:r>
        <w:r w:rsidR="00875D01">
          <w:rPr>
            <w:noProof/>
            <w:webHidden/>
          </w:rPr>
          <w:instrText xml:space="preserve"> PAGEREF _Toc513221616 \h </w:instrText>
        </w:r>
        <w:r w:rsidR="00875D01">
          <w:rPr>
            <w:noProof/>
            <w:webHidden/>
          </w:rPr>
        </w:r>
        <w:r w:rsidR="00875D01">
          <w:rPr>
            <w:noProof/>
            <w:webHidden/>
          </w:rPr>
          <w:fldChar w:fldCharType="separate"/>
        </w:r>
        <w:r w:rsidR="00875D01">
          <w:rPr>
            <w:noProof/>
            <w:webHidden/>
          </w:rPr>
          <w:t>38</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17" w:history="1">
        <w:r w:rsidR="00875D01" w:rsidRPr="0013588F">
          <w:rPr>
            <w:rStyle w:val="Hyperlink"/>
            <w:noProof/>
          </w:rPr>
          <w:t>8.2</w:t>
        </w:r>
        <w:r w:rsidR="00875D01">
          <w:rPr>
            <w:rFonts w:eastAsiaTheme="minorEastAsia"/>
            <w:noProof/>
            <w:lang w:val="en-GB" w:eastAsia="en-GB"/>
          </w:rPr>
          <w:tab/>
        </w:r>
        <w:r w:rsidR="00875D01" w:rsidRPr="0013588F">
          <w:rPr>
            <w:rStyle w:val="Hyperlink"/>
            <w:noProof/>
          </w:rPr>
          <w:t>Summary of recommendations</w:t>
        </w:r>
        <w:r w:rsidR="00875D01">
          <w:rPr>
            <w:noProof/>
            <w:webHidden/>
          </w:rPr>
          <w:tab/>
        </w:r>
        <w:r w:rsidR="00875D01">
          <w:rPr>
            <w:noProof/>
            <w:webHidden/>
          </w:rPr>
          <w:fldChar w:fldCharType="begin"/>
        </w:r>
        <w:r w:rsidR="00875D01">
          <w:rPr>
            <w:noProof/>
            <w:webHidden/>
          </w:rPr>
          <w:instrText xml:space="preserve"> PAGEREF _Toc513221617 \h </w:instrText>
        </w:r>
        <w:r w:rsidR="00875D01">
          <w:rPr>
            <w:noProof/>
            <w:webHidden/>
          </w:rPr>
        </w:r>
        <w:r w:rsidR="00875D01">
          <w:rPr>
            <w:noProof/>
            <w:webHidden/>
          </w:rPr>
          <w:fldChar w:fldCharType="separate"/>
        </w:r>
        <w:r w:rsidR="00875D01">
          <w:rPr>
            <w:noProof/>
            <w:webHidden/>
          </w:rPr>
          <w:t>38</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18" w:history="1">
        <w:r w:rsidR="00875D01" w:rsidRPr="0013588F">
          <w:rPr>
            <w:rStyle w:val="Hyperlink"/>
            <w:noProof/>
          </w:rPr>
          <w:t>8.3</w:t>
        </w:r>
        <w:r w:rsidR="00875D01">
          <w:rPr>
            <w:rFonts w:eastAsiaTheme="minorEastAsia"/>
            <w:noProof/>
            <w:lang w:val="en-GB" w:eastAsia="en-GB"/>
          </w:rPr>
          <w:tab/>
        </w:r>
        <w:r w:rsidR="00875D01" w:rsidRPr="0013588F">
          <w:rPr>
            <w:rStyle w:val="Hyperlink"/>
            <w:noProof/>
          </w:rPr>
          <w:t>Summary of Commendations</w:t>
        </w:r>
        <w:r w:rsidR="00875D01">
          <w:rPr>
            <w:noProof/>
            <w:webHidden/>
          </w:rPr>
          <w:tab/>
        </w:r>
        <w:r w:rsidR="00875D01">
          <w:rPr>
            <w:noProof/>
            <w:webHidden/>
          </w:rPr>
          <w:fldChar w:fldCharType="begin"/>
        </w:r>
        <w:r w:rsidR="00875D01">
          <w:rPr>
            <w:noProof/>
            <w:webHidden/>
          </w:rPr>
          <w:instrText xml:space="preserve"> PAGEREF _Toc513221618 \h </w:instrText>
        </w:r>
        <w:r w:rsidR="00875D01">
          <w:rPr>
            <w:noProof/>
            <w:webHidden/>
          </w:rPr>
        </w:r>
        <w:r w:rsidR="00875D01">
          <w:rPr>
            <w:noProof/>
            <w:webHidden/>
          </w:rPr>
          <w:fldChar w:fldCharType="separate"/>
        </w:r>
        <w:r w:rsidR="00875D01">
          <w:rPr>
            <w:noProof/>
            <w:webHidden/>
          </w:rPr>
          <w:t>38</w:t>
        </w:r>
        <w:r w:rsidR="00875D01">
          <w:rPr>
            <w:noProof/>
            <w:webHidden/>
          </w:rPr>
          <w:fldChar w:fldCharType="end"/>
        </w:r>
      </w:hyperlink>
    </w:p>
    <w:p w:rsidR="00875D01" w:rsidRDefault="009B18CC">
      <w:pPr>
        <w:pStyle w:val="TOC1"/>
        <w:tabs>
          <w:tab w:val="left" w:pos="440"/>
          <w:tab w:val="right" w:leader="dot" w:pos="9016"/>
        </w:tabs>
        <w:rPr>
          <w:rFonts w:eastAsiaTheme="minorEastAsia"/>
          <w:noProof/>
          <w:lang w:val="en-GB" w:eastAsia="en-GB"/>
        </w:rPr>
      </w:pPr>
      <w:hyperlink w:anchor="_Toc513221619" w:history="1">
        <w:r w:rsidR="00875D01" w:rsidRPr="0013588F">
          <w:rPr>
            <w:rStyle w:val="Hyperlink"/>
            <w:rFonts w:asciiTheme="majorHAnsi" w:hAnsiTheme="majorHAnsi"/>
            <w:noProof/>
          </w:rPr>
          <w:t>9</w:t>
        </w:r>
        <w:r w:rsidR="00875D01">
          <w:rPr>
            <w:rFonts w:eastAsiaTheme="minorEastAsia"/>
            <w:noProof/>
            <w:lang w:val="en-GB" w:eastAsia="en-GB"/>
          </w:rPr>
          <w:tab/>
        </w:r>
        <w:r w:rsidR="00875D01" w:rsidRPr="0013588F">
          <w:rPr>
            <w:rStyle w:val="Hyperlink"/>
            <w:rFonts w:asciiTheme="majorHAnsi" w:hAnsiTheme="majorHAnsi"/>
            <w:noProof/>
          </w:rPr>
          <w:t>Declarations of Evaluators’ Interests</w:t>
        </w:r>
        <w:r w:rsidR="00875D01">
          <w:rPr>
            <w:noProof/>
            <w:webHidden/>
          </w:rPr>
          <w:tab/>
        </w:r>
        <w:r w:rsidR="00875D01">
          <w:rPr>
            <w:noProof/>
            <w:webHidden/>
          </w:rPr>
          <w:fldChar w:fldCharType="begin"/>
        </w:r>
        <w:r w:rsidR="00875D01">
          <w:rPr>
            <w:noProof/>
            <w:webHidden/>
          </w:rPr>
          <w:instrText xml:space="preserve"> PAGEREF _Toc513221619 \h </w:instrText>
        </w:r>
        <w:r w:rsidR="00875D01">
          <w:rPr>
            <w:noProof/>
            <w:webHidden/>
          </w:rPr>
        </w:r>
        <w:r w:rsidR="00875D01">
          <w:rPr>
            <w:noProof/>
            <w:webHidden/>
          </w:rPr>
          <w:fldChar w:fldCharType="separate"/>
        </w:r>
        <w:r w:rsidR="00875D01">
          <w:rPr>
            <w:noProof/>
            <w:webHidden/>
          </w:rPr>
          <w:t>39</w:t>
        </w:r>
        <w:r w:rsidR="00875D01">
          <w:rPr>
            <w:noProof/>
            <w:webHidden/>
          </w:rPr>
          <w:fldChar w:fldCharType="end"/>
        </w:r>
      </w:hyperlink>
    </w:p>
    <w:p w:rsidR="00875D01" w:rsidRDefault="009B18CC">
      <w:pPr>
        <w:pStyle w:val="TOC2"/>
        <w:tabs>
          <w:tab w:val="left" w:pos="880"/>
          <w:tab w:val="right" w:leader="dot" w:pos="9016"/>
        </w:tabs>
        <w:rPr>
          <w:rFonts w:eastAsiaTheme="minorEastAsia"/>
          <w:noProof/>
          <w:lang w:val="en-GB" w:eastAsia="en-GB"/>
        </w:rPr>
      </w:pPr>
      <w:hyperlink w:anchor="_Toc513221620" w:history="1">
        <w:r w:rsidR="00875D01" w:rsidRPr="0013588F">
          <w:rPr>
            <w:rStyle w:val="Hyperlink"/>
            <w:noProof/>
          </w:rPr>
          <w:t>9.1</w:t>
        </w:r>
        <w:r w:rsidR="00875D01">
          <w:rPr>
            <w:rFonts w:eastAsiaTheme="minorEastAsia"/>
            <w:noProof/>
            <w:lang w:val="en-GB" w:eastAsia="en-GB"/>
          </w:rPr>
          <w:tab/>
        </w:r>
        <w:r w:rsidR="00875D01" w:rsidRPr="0013588F">
          <w:rPr>
            <w:rStyle w:val="Hyperlink"/>
            <w:noProof/>
          </w:rPr>
          <w:t>Disclaimer</w:t>
        </w:r>
        <w:r w:rsidR="00875D01">
          <w:rPr>
            <w:noProof/>
            <w:webHidden/>
          </w:rPr>
          <w:tab/>
        </w:r>
        <w:r w:rsidR="00875D01">
          <w:rPr>
            <w:noProof/>
            <w:webHidden/>
          </w:rPr>
          <w:fldChar w:fldCharType="begin"/>
        </w:r>
        <w:r w:rsidR="00875D01">
          <w:rPr>
            <w:noProof/>
            <w:webHidden/>
          </w:rPr>
          <w:instrText xml:space="preserve"> PAGEREF _Toc513221620 \h </w:instrText>
        </w:r>
        <w:r w:rsidR="00875D01">
          <w:rPr>
            <w:noProof/>
            <w:webHidden/>
          </w:rPr>
        </w:r>
        <w:r w:rsidR="00875D01">
          <w:rPr>
            <w:noProof/>
            <w:webHidden/>
          </w:rPr>
          <w:fldChar w:fldCharType="separate"/>
        </w:r>
        <w:r w:rsidR="00875D01">
          <w:rPr>
            <w:noProof/>
            <w:webHidden/>
          </w:rPr>
          <w:t>39</w:t>
        </w:r>
        <w:r w:rsidR="00875D01">
          <w:rPr>
            <w:noProof/>
            <w:webHidden/>
          </w:rPr>
          <w:fldChar w:fldCharType="end"/>
        </w:r>
      </w:hyperlink>
    </w:p>
    <w:p w:rsidR="00875D01" w:rsidRDefault="009B18CC">
      <w:pPr>
        <w:pStyle w:val="TOC1"/>
        <w:tabs>
          <w:tab w:val="right" w:leader="dot" w:pos="9016"/>
        </w:tabs>
        <w:rPr>
          <w:rFonts w:eastAsiaTheme="minorEastAsia"/>
          <w:noProof/>
          <w:lang w:val="en-GB" w:eastAsia="en-GB"/>
        </w:rPr>
      </w:pPr>
      <w:hyperlink w:anchor="_Toc513221621" w:history="1">
        <w:r w:rsidR="00875D01" w:rsidRPr="0013588F">
          <w:rPr>
            <w:rStyle w:val="Hyperlink"/>
            <w:noProof/>
          </w:rPr>
          <w:t>Part 3: Proposed programme schedules</w:t>
        </w:r>
        <w:r w:rsidR="00875D01">
          <w:rPr>
            <w:noProof/>
            <w:webHidden/>
          </w:rPr>
          <w:tab/>
        </w:r>
        <w:r w:rsidR="00875D01">
          <w:rPr>
            <w:noProof/>
            <w:webHidden/>
          </w:rPr>
          <w:fldChar w:fldCharType="begin"/>
        </w:r>
        <w:r w:rsidR="00875D01">
          <w:rPr>
            <w:noProof/>
            <w:webHidden/>
          </w:rPr>
          <w:instrText xml:space="preserve"> PAGEREF _Toc513221621 \h </w:instrText>
        </w:r>
        <w:r w:rsidR="00875D01">
          <w:rPr>
            <w:noProof/>
            <w:webHidden/>
          </w:rPr>
        </w:r>
        <w:r w:rsidR="00875D01">
          <w:rPr>
            <w:noProof/>
            <w:webHidden/>
          </w:rPr>
          <w:fldChar w:fldCharType="separate"/>
        </w:r>
        <w:r w:rsidR="00875D01">
          <w:rPr>
            <w:noProof/>
            <w:webHidden/>
          </w:rPr>
          <w:t>40</w:t>
        </w:r>
        <w:r w:rsidR="00875D01">
          <w:rPr>
            <w:noProof/>
            <w:webHidden/>
          </w:rPr>
          <w:fldChar w:fldCharType="end"/>
        </w:r>
      </w:hyperlink>
    </w:p>
    <w:p w:rsidR="00875D01" w:rsidRDefault="009B18CC">
      <w:pPr>
        <w:pStyle w:val="TOC1"/>
        <w:tabs>
          <w:tab w:val="left" w:pos="660"/>
          <w:tab w:val="right" w:leader="dot" w:pos="9016"/>
        </w:tabs>
        <w:rPr>
          <w:rFonts w:eastAsiaTheme="minorEastAsia"/>
          <w:noProof/>
          <w:lang w:val="en-GB" w:eastAsia="en-GB"/>
        </w:rPr>
      </w:pPr>
      <w:hyperlink w:anchor="_Toc513221622" w:history="1">
        <w:r w:rsidR="00875D01" w:rsidRPr="0013588F">
          <w:rPr>
            <w:rStyle w:val="Hyperlink"/>
            <w:noProof/>
          </w:rPr>
          <w:t>10</w:t>
        </w:r>
        <w:r w:rsidR="00875D01">
          <w:rPr>
            <w:rFonts w:eastAsiaTheme="minorEastAsia"/>
            <w:noProof/>
            <w:lang w:val="en-GB" w:eastAsia="en-GB"/>
          </w:rPr>
          <w:tab/>
        </w:r>
        <w:r w:rsidR="00875D01" w:rsidRPr="0013588F">
          <w:rPr>
            <w:rStyle w:val="Hyperlink"/>
            <w:noProof/>
          </w:rPr>
          <w:t>Proposed programme and stage schedules MA in Psychoanalytic Psychotherapy</w:t>
        </w:r>
        <w:r w:rsidR="00875D01">
          <w:rPr>
            <w:noProof/>
            <w:webHidden/>
          </w:rPr>
          <w:tab/>
        </w:r>
        <w:r w:rsidR="00875D01">
          <w:rPr>
            <w:noProof/>
            <w:webHidden/>
          </w:rPr>
          <w:fldChar w:fldCharType="begin"/>
        </w:r>
        <w:r w:rsidR="00875D01">
          <w:rPr>
            <w:noProof/>
            <w:webHidden/>
          </w:rPr>
          <w:instrText xml:space="preserve"> PAGEREF _Toc513221622 \h </w:instrText>
        </w:r>
        <w:r w:rsidR="00875D01">
          <w:rPr>
            <w:noProof/>
            <w:webHidden/>
          </w:rPr>
        </w:r>
        <w:r w:rsidR="00875D01">
          <w:rPr>
            <w:noProof/>
            <w:webHidden/>
          </w:rPr>
          <w:fldChar w:fldCharType="separate"/>
        </w:r>
        <w:r w:rsidR="00875D01">
          <w:rPr>
            <w:noProof/>
            <w:webHidden/>
          </w:rPr>
          <w:t>40</w:t>
        </w:r>
        <w:r w:rsidR="00875D01">
          <w:rPr>
            <w:noProof/>
            <w:webHidden/>
          </w:rPr>
          <w:fldChar w:fldCharType="end"/>
        </w:r>
      </w:hyperlink>
    </w:p>
    <w:p w:rsidR="00875D01" w:rsidRDefault="009B18CC">
      <w:pPr>
        <w:pStyle w:val="TOC1"/>
        <w:tabs>
          <w:tab w:val="left" w:pos="660"/>
          <w:tab w:val="right" w:leader="dot" w:pos="9016"/>
        </w:tabs>
        <w:rPr>
          <w:rFonts w:eastAsiaTheme="minorEastAsia"/>
          <w:noProof/>
          <w:lang w:val="en-GB" w:eastAsia="en-GB"/>
        </w:rPr>
      </w:pPr>
      <w:hyperlink w:anchor="_Toc513221623" w:history="1">
        <w:r w:rsidR="00875D01" w:rsidRPr="0013588F">
          <w:rPr>
            <w:rStyle w:val="Hyperlink"/>
            <w:rFonts w:cs="Lucida Sans"/>
            <w:noProof/>
          </w:rPr>
          <w:t>11</w:t>
        </w:r>
        <w:r w:rsidR="00875D01">
          <w:rPr>
            <w:rFonts w:eastAsiaTheme="minorEastAsia"/>
            <w:noProof/>
            <w:lang w:val="en-GB" w:eastAsia="en-GB"/>
          </w:rPr>
          <w:tab/>
        </w:r>
        <w:r w:rsidR="00875D01" w:rsidRPr="0013588F">
          <w:rPr>
            <w:rStyle w:val="Hyperlink"/>
            <w:noProof/>
          </w:rPr>
          <w:t>Appendix 2: Agenda</w:t>
        </w:r>
        <w:r w:rsidR="00875D01">
          <w:rPr>
            <w:noProof/>
            <w:webHidden/>
          </w:rPr>
          <w:tab/>
        </w:r>
        <w:r w:rsidR="00875D01">
          <w:rPr>
            <w:noProof/>
            <w:webHidden/>
          </w:rPr>
          <w:fldChar w:fldCharType="begin"/>
        </w:r>
        <w:r w:rsidR="00875D01">
          <w:rPr>
            <w:noProof/>
            <w:webHidden/>
          </w:rPr>
          <w:instrText xml:space="preserve"> PAGEREF _Toc513221623 \h </w:instrText>
        </w:r>
        <w:r w:rsidR="00875D01">
          <w:rPr>
            <w:noProof/>
            <w:webHidden/>
          </w:rPr>
        </w:r>
        <w:r w:rsidR="00875D01">
          <w:rPr>
            <w:noProof/>
            <w:webHidden/>
          </w:rPr>
          <w:fldChar w:fldCharType="separate"/>
        </w:r>
        <w:r w:rsidR="00875D01">
          <w:rPr>
            <w:noProof/>
            <w:webHidden/>
          </w:rPr>
          <w:t>42</w:t>
        </w:r>
        <w:r w:rsidR="00875D01">
          <w:rPr>
            <w:noProof/>
            <w:webHidden/>
          </w:rPr>
          <w:fldChar w:fldCharType="end"/>
        </w:r>
      </w:hyperlink>
    </w:p>
    <w:p w:rsidR="00472A27" w:rsidRPr="000A3F70" w:rsidRDefault="002B636C" w:rsidP="00527584">
      <w:pPr>
        <w:jc w:val="center"/>
      </w:pPr>
      <w:r w:rsidRPr="000A3F70">
        <w:fldChar w:fldCharType="end"/>
      </w:r>
    </w:p>
    <w:p w:rsidR="00472A27" w:rsidRPr="000A3F70" w:rsidRDefault="00472A27">
      <w:r w:rsidRPr="000A3F70">
        <w:br w:type="page"/>
      </w:r>
    </w:p>
    <w:p w:rsidR="008F0EA6" w:rsidRPr="000A3F70" w:rsidRDefault="008F0EA6" w:rsidP="00527584">
      <w:pPr>
        <w:jc w:val="center"/>
      </w:pPr>
    </w:p>
    <w:p w:rsidR="00527584" w:rsidRPr="000A3F70" w:rsidRDefault="00527584" w:rsidP="000A3F70">
      <w:pPr>
        <w:pStyle w:val="Heading1"/>
      </w:pPr>
      <w:bookmarkStart w:id="1" w:name="_Toc513221573"/>
      <w:r w:rsidRPr="000A3F70">
        <w:t>Introduction</w:t>
      </w:r>
      <w:bookmarkEnd w:id="1"/>
    </w:p>
    <w:p w:rsidR="00E06088" w:rsidRPr="000A3F70" w:rsidRDefault="00E06088" w:rsidP="00E06088">
      <w:pPr>
        <w:autoSpaceDE w:val="0"/>
        <w:autoSpaceDN w:val="0"/>
        <w:adjustRightInd w:val="0"/>
        <w:spacing w:after="0" w:line="240" w:lineRule="auto"/>
      </w:pPr>
      <w:r w:rsidRPr="000A3F70">
        <w:t>The sco</w:t>
      </w:r>
      <w:r w:rsidR="001252A0" w:rsidRPr="000A3F70">
        <w:t>pe of the review encompassed three programmes within the DBS School of Arts.</w:t>
      </w:r>
      <w:r w:rsidRPr="000A3F70">
        <w:t xml:space="preserve"> The programmes under review are the MA in Psychoanalytic Psychotherapy and the </w:t>
      </w:r>
      <w:r w:rsidR="00CE642A" w:rsidRPr="000A3F70">
        <w:t>MA in Addiction Studies</w:t>
      </w:r>
      <w:r w:rsidR="001252A0" w:rsidRPr="000A3F70">
        <w:t xml:space="preserve"> which are placed at Level 9 of the National Framework of Qualifications. </w:t>
      </w:r>
      <w:r w:rsidR="001252A0" w:rsidRPr="00FC49AE">
        <w:t>Also under review is the Postgraduate Diploma in Arts in Addict</w:t>
      </w:r>
      <w:r w:rsidR="00412D89" w:rsidRPr="00FC49AE">
        <w:t>ion, an embedded programme with</w:t>
      </w:r>
      <w:r w:rsidR="00132939" w:rsidRPr="00FC49AE">
        <w:t>in the MA in Addiction Studies which is a minor award at Leve</w:t>
      </w:r>
      <w:r w:rsidR="00412D89" w:rsidRPr="00FC49AE">
        <w:t>l</w:t>
      </w:r>
      <w:r w:rsidR="00132939" w:rsidRPr="00FC49AE">
        <w:t xml:space="preserve"> 9 on the Framework.</w:t>
      </w:r>
      <w:r w:rsidR="007C6464" w:rsidRPr="00FC49AE">
        <w:t xml:space="preserve"> </w:t>
      </w:r>
      <w:r w:rsidRPr="00FC49AE">
        <w:t>These programmes</w:t>
      </w:r>
      <w:r w:rsidRPr="000A3F70">
        <w:t xml:space="preserve">  are due for review under the QQI requirement for periodic monitoring and review, and also require review to conform with recent policies, including QQI Core Policies and Criteria for the Validation of Programmes of Education and Training (QQI, 2016), Core Statutory Quality Assurance (QA) Guidelines (QQI, 2016) and in accordance with the QQI Programme Review Manual 2016/2017.</w:t>
      </w:r>
    </w:p>
    <w:p w:rsidR="00E06088" w:rsidRPr="000A3F70" w:rsidRDefault="00E06088" w:rsidP="00E06088">
      <w:pPr>
        <w:autoSpaceDE w:val="0"/>
        <w:autoSpaceDN w:val="0"/>
        <w:adjustRightInd w:val="0"/>
        <w:spacing w:after="0" w:line="240" w:lineRule="auto"/>
      </w:pPr>
    </w:p>
    <w:p w:rsidR="00E06088" w:rsidRPr="000A3F70" w:rsidRDefault="00E06088" w:rsidP="00E06088">
      <w:pPr>
        <w:spacing w:line="242" w:lineRule="auto"/>
        <w:ind w:right="505"/>
      </w:pPr>
      <w:r w:rsidRPr="000A3F70">
        <w:t xml:space="preserve">As detailed in QQI’s </w:t>
      </w:r>
      <w:r w:rsidRPr="000A3F70">
        <w:rPr>
          <w:i/>
        </w:rPr>
        <w:t>Core Statutory Quality Assurance (QA) Guidelines</w:t>
      </w:r>
      <w:r w:rsidRPr="000A3F70">
        <w:t xml:space="preserve"> (pp 11–12) and the </w:t>
      </w:r>
      <w:r w:rsidRPr="000A3F70">
        <w:rPr>
          <w:i/>
        </w:rPr>
        <w:t>Programme Review Manual 2016/2017</w:t>
      </w:r>
      <w:r w:rsidRPr="000A3F70">
        <w:t>, programme monitoring and review is taken as an opportunity to:</w:t>
      </w:r>
    </w:p>
    <w:p w:rsidR="00E06088" w:rsidRPr="000A3F70" w:rsidRDefault="00E06088" w:rsidP="00C90305">
      <w:pPr>
        <w:pStyle w:val="ListParagraph"/>
        <w:numPr>
          <w:ilvl w:val="0"/>
          <w:numId w:val="28"/>
        </w:numPr>
      </w:pPr>
      <w:r w:rsidRPr="000A3F70">
        <w:t>Ensure that the programme remains appropriate, and to create a supportive and effective learning environment</w:t>
      </w:r>
    </w:p>
    <w:p w:rsidR="00E06088" w:rsidRPr="000A3F70" w:rsidRDefault="00E06088" w:rsidP="00C90305">
      <w:pPr>
        <w:pStyle w:val="ListParagraph"/>
        <w:numPr>
          <w:ilvl w:val="0"/>
          <w:numId w:val="28"/>
        </w:numPr>
      </w:pPr>
      <w:r w:rsidRPr="000A3F70">
        <w:t>Ensure that the programme achieves the objectives set for it and responds to the needs of learners and the changing needs of society</w:t>
      </w:r>
    </w:p>
    <w:p w:rsidR="00E06088" w:rsidRPr="000A3F70" w:rsidRDefault="00E06088" w:rsidP="00C90305">
      <w:pPr>
        <w:pStyle w:val="ListParagraph"/>
        <w:numPr>
          <w:ilvl w:val="0"/>
          <w:numId w:val="28"/>
        </w:numPr>
      </w:pPr>
      <w:r w:rsidRPr="000A3F70">
        <w:t>Review the learner workload</w:t>
      </w:r>
    </w:p>
    <w:p w:rsidR="00E06088" w:rsidRPr="000A3F70" w:rsidRDefault="00E06088" w:rsidP="00C90305">
      <w:pPr>
        <w:pStyle w:val="ListParagraph"/>
        <w:numPr>
          <w:ilvl w:val="0"/>
          <w:numId w:val="28"/>
        </w:numPr>
      </w:pPr>
      <w:r w:rsidRPr="000A3F70">
        <w:t>Review learner progression and completion rates</w:t>
      </w:r>
    </w:p>
    <w:p w:rsidR="00E06088" w:rsidRPr="000A3F70" w:rsidRDefault="00E06088" w:rsidP="00C90305">
      <w:pPr>
        <w:pStyle w:val="ListParagraph"/>
        <w:numPr>
          <w:ilvl w:val="0"/>
          <w:numId w:val="28"/>
        </w:numPr>
      </w:pPr>
      <w:r w:rsidRPr="000A3F70">
        <w:t>Review the effectiveness of procedures for the assessment of learners</w:t>
      </w:r>
    </w:p>
    <w:p w:rsidR="00E06088" w:rsidRPr="000A3F70" w:rsidRDefault="00E06088" w:rsidP="00C90305">
      <w:pPr>
        <w:pStyle w:val="ListParagraph"/>
        <w:numPr>
          <w:ilvl w:val="0"/>
          <w:numId w:val="28"/>
        </w:numPr>
      </w:pPr>
      <w:r w:rsidRPr="000A3F70">
        <w:t>Inform updates of the programme content; delivery modes; teaching and learning methods; learning supports and resources; and information provided to learners</w:t>
      </w:r>
    </w:p>
    <w:p w:rsidR="00E06088" w:rsidRPr="000A3F70" w:rsidRDefault="00E06088" w:rsidP="00C90305">
      <w:pPr>
        <w:pStyle w:val="ListParagraph"/>
        <w:numPr>
          <w:ilvl w:val="0"/>
          <w:numId w:val="28"/>
        </w:numPr>
      </w:pPr>
      <w:r w:rsidRPr="000A3F70">
        <w:t>Update third party, industry or other stakeholders relevant to the programme(s)</w:t>
      </w:r>
    </w:p>
    <w:p w:rsidR="00E06088" w:rsidRPr="000A3F70" w:rsidRDefault="00E06088" w:rsidP="00C90305">
      <w:pPr>
        <w:pStyle w:val="ListParagraph"/>
        <w:numPr>
          <w:ilvl w:val="0"/>
          <w:numId w:val="28"/>
        </w:numPr>
      </w:pPr>
      <w:r w:rsidRPr="000A3F70">
        <w:t>Review quality assurance arrangements that are specific to that programme</w:t>
      </w:r>
    </w:p>
    <w:p w:rsidR="00E06088" w:rsidRPr="000A3F70" w:rsidRDefault="00E06088" w:rsidP="00E06088">
      <w:pPr>
        <w:pStyle w:val="ListParagraph"/>
      </w:pPr>
    </w:p>
    <w:p w:rsidR="00E06088" w:rsidRPr="000A3F70" w:rsidRDefault="00E06088" w:rsidP="00E06088">
      <w:pPr>
        <w:rPr>
          <w:sz w:val="24"/>
          <w:szCs w:val="24"/>
        </w:rPr>
      </w:pPr>
      <w:r w:rsidRPr="000A3F70">
        <w:rPr>
          <w:sz w:val="24"/>
          <w:szCs w:val="24"/>
        </w:rPr>
        <w:t>Objectives of the Programmatic Review</w:t>
      </w:r>
    </w:p>
    <w:p w:rsidR="00E06088" w:rsidRPr="000A3F70" w:rsidRDefault="00E06088" w:rsidP="00E06088">
      <w:pPr>
        <w:spacing w:before="1"/>
        <w:ind w:left="109"/>
      </w:pPr>
      <w:r w:rsidRPr="000A3F70">
        <w:t xml:space="preserve">The QQI </w:t>
      </w:r>
      <w:r w:rsidRPr="000A3F70">
        <w:rPr>
          <w:i/>
        </w:rPr>
        <w:t>Programme Review Manual 2016/2017</w:t>
      </w:r>
      <w:r w:rsidRPr="000A3F70">
        <w:t xml:space="preserve"> states that the specific objectives of a Programme Review are to evaluate the programme as implemented in light of the provider’s experience of providing the programme over the previous five years</w:t>
      </w:r>
      <w:r w:rsidRPr="000A3F70">
        <w:rPr>
          <w:lang w:val="ga-IE"/>
        </w:rPr>
        <w:t xml:space="preserve"> with a view to determining:</w:t>
      </w:r>
    </w:p>
    <w:p w:rsidR="00E06088" w:rsidRPr="000A3F70" w:rsidRDefault="00E06088" w:rsidP="00C90305">
      <w:pPr>
        <w:pStyle w:val="ListParagraph"/>
        <w:numPr>
          <w:ilvl w:val="0"/>
          <w:numId w:val="27"/>
        </w:numPr>
        <w:rPr>
          <w:lang w:val="ga-IE"/>
        </w:rPr>
      </w:pPr>
      <w:r w:rsidRPr="000A3F70">
        <w:rPr>
          <w:lang w:val="ga-IE"/>
        </w:rPr>
        <w:t>What has been learned about the programme</w:t>
      </w:r>
      <w:r w:rsidRPr="000A3F70">
        <w:t>,</w:t>
      </w:r>
      <w:r w:rsidRPr="000A3F70">
        <w:rPr>
          <w:lang w:val="ga-IE"/>
        </w:rPr>
        <w:t xml:space="preserve"> as an evolving process (by which learners acquire knowledge, skill and competence), from the experience of providing it for the past five or so years?</w:t>
      </w:r>
    </w:p>
    <w:p w:rsidR="00E06088" w:rsidRPr="000A3F70" w:rsidRDefault="00E06088" w:rsidP="00C90305">
      <w:pPr>
        <w:pStyle w:val="ListParagraph"/>
        <w:numPr>
          <w:ilvl w:val="0"/>
          <w:numId w:val="27"/>
        </w:numPr>
        <w:rPr>
          <w:lang w:val="ga-IE"/>
        </w:rPr>
      </w:pPr>
      <w:r w:rsidRPr="000A3F70">
        <w:rPr>
          <w:lang w:val="ga-IE"/>
        </w:rPr>
        <w:t>What can be concluded from a quantitative analysis of admission</w:t>
      </w:r>
      <w:r w:rsidRPr="000A3F70">
        <w:t xml:space="preserve"> data</w:t>
      </w:r>
      <w:r w:rsidRPr="000A3F70">
        <w:rPr>
          <w:lang w:val="ga-IE"/>
        </w:rPr>
        <w:t>, attrition</w:t>
      </w:r>
      <w:r w:rsidRPr="000A3F70">
        <w:t xml:space="preserve"> rates by stage</w:t>
      </w:r>
      <w:r w:rsidRPr="000A3F70">
        <w:rPr>
          <w:lang w:val="ga-IE"/>
        </w:rPr>
        <w:t>, completion rates and grades achieved by module, stage and overall?</w:t>
      </w:r>
    </w:p>
    <w:p w:rsidR="00E06088" w:rsidRPr="000A3F70" w:rsidRDefault="00E06088" w:rsidP="00C90305">
      <w:pPr>
        <w:pStyle w:val="ListParagraph"/>
        <w:numPr>
          <w:ilvl w:val="0"/>
          <w:numId w:val="27"/>
        </w:numPr>
        <w:rPr>
          <w:lang w:val="ga-IE"/>
        </w:rPr>
      </w:pPr>
      <w:r w:rsidRPr="000A3F70">
        <w:rPr>
          <w:lang w:val="ga-IE"/>
        </w:rPr>
        <w:t xml:space="preserve">What reputation </w:t>
      </w:r>
      <w:r w:rsidRPr="000A3F70">
        <w:t xml:space="preserve">do </w:t>
      </w:r>
      <w:r w:rsidRPr="000A3F70">
        <w:rPr>
          <w:lang w:val="ga-IE"/>
        </w:rPr>
        <w:t>the programme and provider have with stakeholders (</w:t>
      </w:r>
      <w:r w:rsidRPr="000A3F70">
        <w:t xml:space="preserve">learners, staff, </w:t>
      </w:r>
      <w:r w:rsidRPr="000A3F70">
        <w:rPr>
          <w:lang w:val="ga-IE"/>
        </w:rPr>
        <w:t>funding agencies, regulatory bodies, professional bodies, communities of practice, employers, other education and training providers) and</w:t>
      </w:r>
      <w:r w:rsidRPr="000A3F70">
        <w:t xml:space="preserve"> in particular</w:t>
      </w:r>
      <w:r w:rsidRPr="000A3F70">
        <w:rPr>
          <w:lang w:val="ga-IE"/>
        </w:rPr>
        <w:t xml:space="preserve"> what view</w:t>
      </w:r>
      <w:r w:rsidRPr="000A3F70">
        <w:t>s</w:t>
      </w:r>
      <w:r w:rsidRPr="000A3F70">
        <w:rPr>
          <w:lang w:val="ga-IE"/>
        </w:rPr>
        <w:t xml:space="preserve"> </w:t>
      </w:r>
      <w:r w:rsidRPr="000A3F70">
        <w:t>do the stakeholders</w:t>
      </w:r>
      <w:r w:rsidRPr="000A3F70">
        <w:rPr>
          <w:lang w:val="ga-IE"/>
        </w:rPr>
        <w:t xml:space="preserve"> have about the strengths, weaknesses, opportunities and threats concerning the programme</w:t>
      </w:r>
      <w:r w:rsidRPr="000A3F70">
        <w:t>’s history</w:t>
      </w:r>
      <w:r w:rsidRPr="000A3F70">
        <w:rPr>
          <w:lang w:val="ga-IE"/>
        </w:rPr>
        <w:t xml:space="preserve"> and its future? </w:t>
      </w:r>
    </w:p>
    <w:p w:rsidR="00E06088" w:rsidRPr="000A3F70" w:rsidRDefault="00E06088" w:rsidP="00C90305">
      <w:pPr>
        <w:pStyle w:val="ListParagraph"/>
        <w:numPr>
          <w:ilvl w:val="0"/>
          <w:numId w:val="27"/>
        </w:numPr>
        <w:rPr>
          <w:lang w:val="ga-IE"/>
        </w:rPr>
      </w:pPr>
      <w:r w:rsidRPr="000A3F70">
        <w:rPr>
          <w:lang w:val="ga-IE"/>
        </w:rPr>
        <w:t xml:space="preserve">What challenges and opportunities are likely to arise in the next five years and what </w:t>
      </w:r>
      <w:r w:rsidRPr="000A3F70">
        <w:t xml:space="preserve">modifications to the programme are required </w:t>
      </w:r>
      <w:r w:rsidRPr="000A3F70">
        <w:rPr>
          <w:lang w:val="ga-IE"/>
        </w:rPr>
        <w:t>in light of these?</w:t>
      </w:r>
    </w:p>
    <w:p w:rsidR="00E06088" w:rsidRPr="000A3F70" w:rsidRDefault="00E06088" w:rsidP="00C90305">
      <w:pPr>
        <w:pStyle w:val="ListParagraph"/>
        <w:numPr>
          <w:ilvl w:val="0"/>
          <w:numId w:val="27"/>
        </w:numPr>
        <w:rPr>
          <w:lang w:val="ga-IE"/>
        </w:rPr>
      </w:pPr>
      <w:r w:rsidRPr="000A3F70">
        <w:rPr>
          <w:lang w:val="ga-IE"/>
        </w:rPr>
        <w:t xml:space="preserve">Whether the programme in light of its stated objectives and intended learning outcomes demonstrably addresses explicit learning needs of target learners and society? </w:t>
      </w:r>
    </w:p>
    <w:p w:rsidR="00E06088" w:rsidRPr="000A3F70" w:rsidRDefault="00E06088" w:rsidP="00C90305">
      <w:pPr>
        <w:pStyle w:val="ListParagraph"/>
        <w:numPr>
          <w:ilvl w:val="0"/>
          <w:numId w:val="27"/>
        </w:numPr>
        <w:rPr>
          <w:lang w:val="ga-IE"/>
        </w:rPr>
      </w:pPr>
      <w:r w:rsidRPr="000A3F70">
        <w:rPr>
          <w:lang w:val="ga-IE"/>
        </w:rPr>
        <w:t xml:space="preserve">What other </w:t>
      </w:r>
      <w:r w:rsidRPr="000A3F70">
        <w:t xml:space="preserve">modifications </w:t>
      </w:r>
      <w:r w:rsidRPr="000A3F70">
        <w:rPr>
          <w:lang w:val="ga-IE"/>
        </w:rPr>
        <w:t xml:space="preserve">need to </w:t>
      </w:r>
      <w:r w:rsidRPr="000A3F70">
        <w:t xml:space="preserve">be </w:t>
      </w:r>
      <w:r w:rsidRPr="000A3F70">
        <w:rPr>
          <w:lang w:val="ga-IE"/>
        </w:rPr>
        <w:t>made to</w:t>
      </w:r>
      <w:r w:rsidRPr="000A3F70">
        <w:t xml:space="preserve"> the programme and its awards to</w:t>
      </w:r>
      <w:r w:rsidRPr="000A3F70">
        <w:rPr>
          <w:lang w:val="ga-IE"/>
        </w:rPr>
        <w:t xml:space="preserve"> improve or reorient </w:t>
      </w:r>
      <w:r w:rsidRPr="000A3F70">
        <w:t>it</w:t>
      </w:r>
      <w:r w:rsidRPr="000A3F70">
        <w:rPr>
          <w:lang w:val="ga-IE"/>
        </w:rPr>
        <w:t>?</w:t>
      </w:r>
      <w:r w:rsidRPr="000A3F70">
        <w:t xml:space="preserve"> </w:t>
      </w:r>
    </w:p>
    <w:p w:rsidR="00E06088" w:rsidRPr="000A3F70" w:rsidRDefault="00E06088" w:rsidP="00C90305">
      <w:pPr>
        <w:pStyle w:val="ListParagraph"/>
        <w:numPr>
          <w:ilvl w:val="0"/>
          <w:numId w:val="27"/>
        </w:numPr>
        <w:rPr>
          <w:lang w:val="ga-IE"/>
        </w:rPr>
      </w:pPr>
      <w:r w:rsidRPr="000A3F70">
        <w:rPr>
          <w:lang w:val="ga-IE"/>
        </w:rPr>
        <w:t xml:space="preserve">Whether the programme </w:t>
      </w:r>
      <w:r w:rsidRPr="000A3F70">
        <w:t xml:space="preserve">(modified or unmodified) </w:t>
      </w:r>
      <w:r w:rsidRPr="000A3F70">
        <w:rPr>
          <w:lang w:val="ga-IE"/>
        </w:rPr>
        <w:t>meets the current QQI validation criteria</w:t>
      </w:r>
      <w:r w:rsidRPr="000A3F70">
        <w:t xml:space="preserve"> (and sub-criteria)</w:t>
      </w:r>
      <w:r w:rsidRPr="000A3F70">
        <w:rPr>
          <w:lang w:val="ga-IE"/>
        </w:rPr>
        <w:t xml:space="preserve"> or</w:t>
      </w:r>
      <w:r w:rsidRPr="000A3F70">
        <w:t>,</w:t>
      </w:r>
      <w:r w:rsidRPr="000A3F70">
        <w:rPr>
          <w:lang w:val="ga-IE"/>
        </w:rPr>
        <w:t xml:space="preserve"> if not</w:t>
      </w:r>
      <w:r w:rsidRPr="000A3F70">
        <w:t>,</w:t>
      </w:r>
      <w:r w:rsidRPr="000A3F70">
        <w:rPr>
          <w:lang w:val="ga-IE"/>
        </w:rPr>
        <w:t xml:space="preserve"> what </w:t>
      </w:r>
      <w:r w:rsidRPr="000A3F70">
        <w:t>modifications</w:t>
      </w:r>
      <w:r w:rsidRPr="000A3F70">
        <w:rPr>
          <w:lang w:val="ga-IE"/>
        </w:rPr>
        <w:t xml:space="preserve"> need to be made to the programme to meet the current criteria?</w:t>
      </w:r>
    </w:p>
    <w:p w:rsidR="00E06088" w:rsidRPr="00FC49AE" w:rsidRDefault="00E06088" w:rsidP="00412D89">
      <w:pPr>
        <w:pStyle w:val="ListParagraph"/>
        <w:numPr>
          <w:ilvl w:val="0"/>
          <w:numId w:val="27"/>
        </w:numPr>
        <w:rPr>
          <w:lang w:val="ga-IE"/>
        </w:rPr>
      </w:pPr>
      <w:r w:rsidRPr="00FC49AE">
        <w:rPr>
          <w:lang w:val="ga-IE"/>
        </w:rPr>
        <w:t xml:space="preserve">Whether the provider continues to have the capacity and capability to provide the programme as planned (considering, for example, </w:t>
      </w:r>
      <w:r w:rsidRPr="00FC49AE">
        <w:t xml:space="preserve">historical and projected </w:t>
      </w:r>
      <w:r w:rsidRPr="00FC49AE">
        <w:rPr>
          <w:lang w:val="ga-IE"/>
        </w:rPr>
        <w:t>enrolment numbers</w:t>
      </w:r>
      <w:r w:rsidRPr="00FC49AE">
        <w:t xml:space="preserve"> and profile</w:t>
      </w:r>
      <w:r w:rsidRPr="00FC49AE">
        <w:rPr>
          <w:lang w:val="ga-IE"/>
        </w:rPr>
        <w:t xml:space="preserve"> and availability </w:t>
      </w:r>
      <w:r w:rsidRPr="00FC49AE">
        <w:t xml:space="preserve">and adequacy </w:t>
      </w:r>
      <w:r w:rsidRPr="00FC49AE">
        <w:rPr>
          <w:lang w:val="ga-IE"/>
        </w:rPr>
        <w:t xml:space="preserve">of physical, financial and human resources) without risk of compromising educational standards or quality of provision in light of its other commitments </w:t>
      </w:r>
      <w:r w:rsidRPr="00FC49AE">
        <w:t xml:space="preserve">(i.e. competing demands) </w:t>
      </w:r>
      <w:r w:rsidRPr="00FC49AE">
        <w:rPr>
          <w:lang w:val="ga-IE"/>
        </w:rPr>
        <w:t>and strategy?</w:t>
      </w:r>
    </w:p>
    <w:p w:rsidR="00E06088" w:rsidRPr="00FC49AE" w:rsidRDefault="00E06088" w:rsidP="00C90305">
      <w:pPr>
        <w:pStyle w:val="ListParagraph"/>
        <w:numPr>
          <w:ilvl w:val="0"/>
          <w:numId w:val="27"/>
        </w:numPr>
        <w:rPr>
          <w:lang w:val="ga-IE"/>
        </w:rPr>
      </w:pPr>
      <w:r w:rsidRPr="00FC49AE">
        <w:rPr>
          <w:lang w:val="ga-IE"/>
        </w:rPr>
        <w:t>What is the justification (or otherwise) for the provider continuing to offer the programme</w:t>
      </w:r>
      <w:r w:rsidRPr="00FC49AE">
        <w:t xml:space="preserve"> </w:t>
      </w:r>
      <w:r w:rsidRPr="00FC49AE">
        <w:rPr>
          <w:lang w:val="ga-IE"/>
        </w:rPr>
        <w:t>(modified or unmodified</w:t>
      </w:r>
      <w:r w:rsidRPr="00FC49AE">
        <w:t>)</w:t>
      </w:r>
      <w:r w:rsidRPr="00FC49AE">
        <w:rPr>
          <w:lang w:val="ga-IE"/>
        </w:rPr>
        <w:t>?</w:t>
      </w:r>
    </w:p>
    <w:p w:rsidR="00E06088" w:rsidRPr="00FC49AE" w:rsidRDefault="00E06088" w:rsidP="00C90305">
      <w:pPr>
        <w:pStyle w:val="ListParagraph"/>
        <w:numPr>
          <w:ilvl w:val="0"/>
          <w:numId w:val="27"/>
        </w:numPr>
        <w:rPr>
          <w:rFonts w:ascii="Calibri" w:hAnsi="Calibri" w:cs="Calibri"/>
          <w:lang w:val="en-NZ"/>
        </w:rPr>
      </w:pPr>
      <w:r w:rsidRPr="00FC49AE">
        <w:t xml:space="preserve"> What changes need to be made to related polices, criteria and procedures (including QA procedures)? </w:t>
      </w:r>
    </w:p>
    <w:p w:rsidR="00527584" w:rsidRPr="000A3F70" w:rsidRDefault="00527584" w:rsidP="000A3F70">
      <w:pPr>
        <w:pStyle w:val="Heading1"/>
        <w:rPr>
          <w:rFonts w:asciiTheme="majorHAnsi" w:hAnsiTheme="majorHAnsi"/>
          <w:sz w:val="32"/>
        </w:rPr>
      </w:pPr>
      <w:bookmarkStart w:id="2" w:name="_Toc513221574"/>
      <w:r w:rsidRPr="000A3F70">
        <w:t>Independent Review Process</w:t>
      </w:r>
      <w:bookmarkEnd w:id="2"/>
    </w:p>
    <w:p w:rsidR="00E00B24" w:rsidRPr="000A3F70" w:rsidRDefault="00527584" w:rsidP="00E00B24">
      <w:pPr>
        <w:pStyle w:val="Heading2"/>
        <w:rPr>
          <w:color w:val="auto"/>
        </w:rPr>
      </w:pPr>
      <w:bookmarkStart w:id="3" w:name="_Toc513221575"/>
      <w:r w:rsidRPr="000A3F70">
        <w:rPr>
          <w:color w:val="auto"/>
        </w:rPr>
        <w:t>Evidence Perused</w:t>
      </w:r>
      <w:bookmarkEnd w:id="3"/>
    </w:p>
    <w:p w:rsidR="00E00B24" w:rsidRPr="000A3F70" w:rsidRDefault="00A624D5" w:rsidP="00FA215E">
      <w:pPr>
        <w:spacing w:after="0" w:line="240" w:lineRule="auto"/>
        <w:jc w:val="both"/>
        <w:rPr>
          <w:lang w:val="en-GB"/>
        </w:rPr>
      </w:pPr>
      <w:r>
        <w:rPr>
          <w:lang w:val="en-GB"/>
        </w:rPr>
        <w:t>The review process for</w:t>
      </w:r>
      <w:r w:rsidRPr="00FC10F8">
        <w:rPr>
          <w:lang w:val="en-GB"/>
        </w:rPr>
        <w:t xml:space="preserve"> the</w:t>
      </w:r>
      <w:r w:rsidR="00E00B24" w:rsidRPr="00FC10F8">
        <w:rPr>
          <w:lang w:val="en-GB"/>
        </w:rPr>
        <w:t xml:space="preserve"> </w:t>
      </w:r>
      <w:r w:rsidR="00E00B24" w:rsidRPr="000A3F70">
        <w:rPr>
          <w:lang w:val="en-GB"/>
        </w:rPr>
        <w:t>programmes was led by the Programme Leader</w:t>
      </w:r>
      <w:r w:rsidR="00BE6296" w:rsidRPr="000A3F70">
        <w:rPr>
          <w:lang w:val="en-GB"/>
        </w:rPr>
        <w:t>s</w:t>
      </w:r>
      <w:r w:rsidR="00E00B24" w:rsidRPr="000A3F70">
        <w:rPr>
          <w:lang w:val="en-GB"/>
        </w:rPr>
        <w:t xml:space="preserve"> with the Programme Team in order to critically analyse all aspects of these programmes.  The consultation embraced a wide range of relevant issues including:</w:t>
      </w:r>
    </w:p>
    <w:p w:rsidR="00E00B24" w:rsidRPr="000A3F70" w:rsidRDefault="00E00B24" w:rsidP="000A3F70">
      <w:pPr>
        <w:spacing w:after="0" w:line="240" w:lineRule="auto"/>
        <w:ind w:left="993" w:hanging="284"/>
        <w:jc w:val="both"/>
        <w:rPr>
          <w:lang w:val="en-GB"/>
        </w:rPr>
      </w:pPr>
      <w:r w:rsidRPr="000A3F70">
        <w:rPr>
          <w:lang w:val="en-GB"/>
        </w:rPr>
        <w:t>•</w:t>
      </w:r>
      <w:r w:rsidRPr="000A3F70">
        <w:rPr>
          <w:lang w:val="en-GB"/>
        </w:rPr>
        <w:tab/>
        <w:t>Programme rationale</w:t>
      </w:r>
    </w:p>
    <w:p w:rsidR="00E00B24" w:rsidRPr="000A3F70" w:rsidRDefault="00E00B24" w:rsidP="000A3F70">
      <w:pPr>
        <w:spacing w:after="0" w:line="240" w:lineRule="auto"/>
        <w:ind w:left="993" w:hanging="284"/>
        <w:jc w:val="both"/>
        <w:rPr>
          <w:lang w:val="en-GB"/>
        </w:rPr>
      </w:pPr>
      <w:r w:rsidRPr="000A3F70">
        <w:rPr>
          <w:lang w:val="en-GB"/>
        </w:rPr>
        <w:t>•</w:t>
      </w:r>
      <w:r w:rsidRPr="000A3F70">
        <w:rPr>
          <w:lang w:val="en-GB"/>
        </w:rPr>
        <w:tab/>
        <w:t>Programme aims, objectives and learning outcomes</w:t>
      </w:r>
    </w:p>
    <w:p w:rsidR="00E00B24" w:rsidRPr="000A3F70" w:rsidRDefault="00E00B24" w:rsidP="000A3F70">
      <w:pPr>
        <w:spacing w:after="0" w:line="240" w:lineRule="auto"/>
        <w:ind w:left="993" w:hanging="284"/>
        <w:jc w:val="both"/>
        <w:rPr>
          <w:lang w:val="en-GB"/>
        </w:rPr>
      </w:pPr>
      <w:r w:rsidRPr="000A3F70">
        <w:rPr>
          <w:lang w:val="en-GB"/>
        </w:rPr>
        <w:t>•</w:t>
      </w:r>
      <w:r w:rsidRPr="000A3F70">
        <w:rPr>
          <w:lang w:val="en-GB"/>
        </w:rPr>
        <w:tab/>
        <w:t>Programme structure</w:t>
      </w:r>
    </w:p>
    <w:p w:rsidR="00E00B24" w:rsidRPr="000A3F70" w:rsidRDefault="00E00B24" w:rsidP="000A3F70">
      <w:pPr>
        <w:spacing w:after="0" w:line="240" w:lineRule="auto"/>
        <w:ind w:left="993" w:hanging="284"/>
        <w:jc w:val="both"/>
        <w:rPr>
          <w:lang w:val="en-GB"/>
        </w:rPr>
      </w:pPr>
      <w:r w:rsidRPr="000A3F70">
        <w:rPr>
          <w:lang w:val="en-GB"/>
        </w:rPr>
        <w:t>•</w:t>
      </w:r>
      <w:r w:rsidRPr="000A3F70">
        <w:rPr>
          <w:lang w:val="en-GB"/>
        </w:rPr>
        <w:tab/>
        <w:t>Module choice and content</w:t>
      </w:r>
    </w:p>
    <w:p w:rsidR="00E00B24" w:rsidRPr="000A3F70" w:rsidRDefault="00E00B24" w:rsidP="000A3F70">
      <w:pPr>
        <w:spacing w:after="0" w:line="240" w:lineRule="auto"/>
        <w:ind w:left="993" w:hanging="284"/>
        <w:jc w:val="both"/>
        <w:rPr>
          <w:lang w:val="en-GB"/>
        </w:rPr>
      </w:pPr>
      <w:r w:rsidRPr="000A3F70">
        <w:rPr>
          <w:lang w:val="en-GB"/>
        </w:rPr>
        <w:t>•</w:t>
      </w:r>
      <w:r w:rsidRPr="000A3F70">
        <w:rPr>
          <w:lang w:val="en-GB"/>
        </w:rPr>
        <w:tab/>
        <w:t>Teaching, learning and assessment methodologies</w:t>
      </w:r>
    </w:p>
    <w:p w:rsidR="00E00B24" w:rsidRDefault="00E00B24" w:rsidP="000A3F70">
      <w:pPr>
        <w:spacing w:after="0" w:line="240" w:lineRule="auto"/>
        <w:ind w:left="993" w:hanging="284"/>
        <w:jc w:val="both"/>
        <w:rPr>
          <w:lang w:val="en-GB"/>
        </w:rPr>
      </w:pPr>
      <w:r w:rsidRPr="000A3F70">
        <w:rPr>
          <w:lang w:val="en-GB"/>
        </w:rPr>
        <w:t>•</w:t>
      </w:r>
      <w:r w:rsidRPr="000A3F70">
        <w:rPr>
          <w:lang w:val="en-GB"/>
        </w:rPr>
        <w:tab/>
        <w:t>Ac</w:t>
      </w:r>
      <w:r w:rsidR="000A3F70" w:rsidRPr="000A3F70">
        <w:rPr>
          <w:lang w:val="en-GB"/>
        </w:rPr>
        <w:t>cess, transfer and progression</w:t>
      </w:r>
    </w:p>
    <w:p w:rsidR="000A3F70" w:rsidRPr="000A3F70" w:rsidRDefault="000A3F70" w:rsidP="000A3F70">
      <w:pPr>
        <w:spacing w:after="0" w:line="240" w:lineRule="auto"/>
        <w:ind w:left="993" w:hanging="284"/>
        <w:jc w:val="both"/>
        <w:rPr>
          <w:lang w:val="en-GB"/>
        </w:rPr>
      </w:pPr>
    </w:p>
    <w:p w:rsidR="00E00B24" w:rsidRPr="000A3F70" w:rsidRDefault="00E00B24" w:rsidP="00E00B24">
      <w:pPr>
        <w:spacing w:after="0" w:line="360" w:lineRule="auto"/>
        <w:jc w:val="both"/>
        <w:rPr>
          <w:lang w:val="en-GB"/>
        </w:rPr>
      </w:pPr>
      <w:r w:rsidRPr="000A3F70">
        <w:rPr>
          <w:lang w:val="en-GB"/>
        </w:rPr>
        <w:t>The guiding principles underpinning this review were:</w:t>
      </w:r>
    </w:p>
    <w:p w:rsidR="00E00B24" w:rsidRPr="000A3F70" w:rsidRDefault="00E00B24" w:rsidP="00C90305">
      <w:pPr>
        <w:pStyle w:val="ListParagraph"/>
        <w:numPr>
          <w:ilvl w:val="0"/>
          <w:numId w:val="32"/>
        </w:numPr>
        <w:spacing w:after="0" w:line="240" w:lineRule="auto"/>
        <w:jc w:val="both"/>
      </w:pPr>
      <w:r w:rsidRPr="000A3F70">
        <w:t>That assessment of learning achieved shall adhere to the relevant QQI Assessment and Standards Revised 2013</w:t>
      </w:r>
    </w:p>
    <w:p w:rsidR="00E00B24" w:rsidRPr="000A3F70" w:rsidRDefault="00E00B24" w:rsidP="00C90305">
      <w:pPr>
        <w:pStyle w:val="ListParagraph"/>
        <w:numPr>
          <w:ilvl w:val="0"/>
          <w:numId w:val="32"/>
        </w:numPr>
        <w:spacing w:after="0" w:line="240" w:lineRule="auto"/>
        <w:jc w:val="both"/>
      </w:pPr>
      <w:r w:rsidRPr="000A3F70">
        <w:t>That the proposal for</w:t>
      </w:r>
      <w:r w:rsidR="00132939" w:rsidRPr="000A3F70">
        <w:t xml:space="preserve"> the programmatic review of the programmes </w:t>
      </w:r>
      <w:r w:rsidRPr="000A3F70">
        <w:t>has been developed and approved internally as a result of the DBS quality assurance procedures</w:t>
      </w:r>
    </w:p>
    <w:p w:rsidR="00E00B24" w:rsidRPr="000A3F70" w:rsidRDefault="00E00B24" w:rsidP="00C90305">
      <w:pPr>
        <w:pStyle w:val="ListParagraph"/>
        <w:numPr>
          <w:ilvl w:val="0"/>
          <w:numId w:val="32"/>
        </w:numPr>
        <w:spacing w:after="0" w:line="240" w:lineRule="auto"/>
        <w:jc w:val="both"/>
      </w:pPr>
      <w:r w:rsidRPr="000A3F70">
        <w:t>That the proposed programme will assist DBS and the School of Arts in the achievement of DBS’s mission and strategy</w:t>
      </w:r>
    </w:p>
    <w:p w:rsidR="00E00B24" w:rsidRPr="000A3F70" w:rsidRDefault="00E00B24" w:rsidP="00C90305">
      <w:pPr>
        <w:pStyle w:val="ListParagraph"/>
        <w:numPr>
          <w:ilvl w:val="0"/>
          <w:numId w:val="32"/>
        </w:numPr>
        <w:spacing w:after="0" w:line="240" w:lineRule="auto"/>
        <w:jc w:val="both"/>
      </w:pPr>
      <w:r w:rsidRPr="000A3F70">
        <w:t>That the programme learning outcomes will meet the needs of current and future learners, employers and other stakeholders</w:t>
      </w:r>
    </w:p>
    <w:p w:rsidR="00E00B24" w:rsidRPr="000A3F70" w:rsidRDefault="00E00B24" w:rsidP="00C90305">
      <w:pPr>
        <w:pStyle w:val="ListParagraph"/>
        <w:numPr>
          <w:ilvl w:val="0"/>
          <w:numId w:val="32"/>
        </w:numPr>
        <w:spacing w:after="0" w:line="240" w:lineRule="auto"/>
        <w:jc w:val="both"/>
      </w:pPr>
      <w:r w:rsidRPr="000A3F70">
        <w:t>That teaching and learning or research activity at any level shall be conducted in a manner mor</w:t>
      </w:r>
      <w:r w:rsidR="000A3F70">
        <w:t>ally and professionally ethical</w:t>
      </w:r>
    </w:p>
    <w:p w:rsidR="00E00B24" w:rsidRPr="000A3F70" w:rsidRDefault="00E00B24" w:rsidP="00E00B24">
      <w:pPr>
        <w:spacing w:after="0" w:line="360" w:lineRule="auto"/>
        <w:jc w:val="both"/>
        <w:rPr>
          <w:lang w:val="en-GB"/>
        </w:rPr>
      </w:pPr>
    </w:p>
    <w:p w:rsidR="00FA215E" w:rsidRPr="000A3F70" w:rsidRDefault="00E00B24" w:rsidP="00FA215E">
      <w:pPr>
        <w:spacing w:after="0" w:line="240" w:lineRule="auto"/>
      </w:pPr>
      <w:r w:rsidRPr="000A3F70">
        <w:t xml:space="preserve">The Programme Team has engaged in a significant consultative process to ensure that the programmes provide an appropriate and relevant mix of academic content and practical application to address the needs of the various stakeholders.  This process was informed by consultation with internal and external stakeholders, including current learners, external examiners, employer organisations, faculty, current reports by government agencies on labour force requirements, as well as a competitor </w:t>
      </w:r>
      <w:r w:rsidR="00132939" w:rsidRPr="000A3F70">
        <w:t xml:space="preserve">analysis of similar programmes, in so far as these </w:t>
      </w:r>
      <w:r w:rsidR="00132939" w:rsidRPr="00895736">
        <w:t xml:space="preserve">were available. </w:t>
      </w:r>
      <w:r w:rsidR="00895736" w:rsidRPr="00895736">
        <w:t>See Section 7.2 of this repor</w:t>
      </w:r>
      <w:r w:rsidR="00895736">
        <w:t>t</w:t>
      </w:r>
      <w:r w:rsidR="00895736" w:rsidRPr="00895736">
        <w:t xml:space="preserve"> for more information</w:t>
      </w:r>
    </w:p>
    <w:p w:rsidR="00FA215E" w:rsidRPr="000A3F70" w:rsidRDefault="00FA215E" w:rsidP="00FA215E">
      <w:pPr>
        <w:spacing w:after="0" w:line="240" w:lineRule="auto"/>
      </w:pPr>
    </w:p>
    <w:p w:rsidR="00E00B24" w:rsidRPr="00FC49AE" w:rsidRDefault="00E00B24" w:rsidP="00412D89">
      <w:pPr>
        <w:spacing w:after="0" w:line="240" w:lineRule="auto"/>
      </w:pPr>
      <w:r w:rsidRPr="00FC49AE">
        <w:t>The results and conclusions of this review process informed the proposed changes to the programmes which are outlined in this report. DBS provided the panel with a self-evaluation reports for each programme (hereafter referred to as Programme Review Reports) and access to documentation before and during the site visit. Requests for further documentation were facilitated in a timely manner and supported by further explanations where appropriate.</w:t>
      </w:r>
    </w:p>
    <w:p w:rsidR="00637F47" w:rsidRPr="000A3F70" w:rsidRDefault="00637F47" w:rsidP="00FA215E">
      <w:pPr>
        <w:spacing w:after="0" w:line="240" w:lineRule="auto"/>
        <w:jc w:val="both"/>
      </w:pPr>
    </w:p>
    <w:p w:rsidR="00637F47" w:rsidRPr="000A3F70" w:rsidRDefault="00637F47" w:rsidP="00637F47">
      <w:pPr>
        <w:spacing w:line="240" w:lineRule="auto"/>
        <w:jc w:val="both"/>
        <w:rPr>
          <w:rFonts w:ascii="Times New Roman" w:eastAsia="Times New Roman" w:hAnsi="Times New Roman" w:cs="Times New Roman"/>
          <w:sz w:val="24"/>
          <w:szCs w:val="24"/>
          <w:lang w:eastAsia="en-GB"/>
        </w:rPr>
      </w:pPr>
      <w:r w:rsidRPr="000A3F70">
        <w:rPr>
          <w:rFonts w:ascii="Calibri" w:eastAsia="Times New Roman" w:hAnsi="Calibri" w:cs="Calibri"/>
          <w:bCs/>
          <w:sz w:val="24"/>
          <w:szCs w:val="24"/>
          <w:lang w:eastAsia="en-GB"/>
        </w:rPr>
        <w:t>Membership of Provider’s Review Team</w:t>
      </w:r>
    </w:p>
    <w:tbl>
      <w:tblPr>
        <w:tblStyle w:val="TableGrid"/>
        <w:tblW w:w="0" w:type="auto"/>
        <w:tblLook w:val="04A0" w:firstRow="1" w:lastRow="0" w:firstColumn="1" w:lastColumn="0" w:noHBand="0" w:noVBand="1"/>
      </w:tblPr>
      <w:tblGrid>
        <w:gridCol w:w="4508"/>
        <w:gridCol w:w="4508"/>
      </w:tblGrid>
      <w:tr w:rsidR="00637F47" w:rsidRPr="000A3F70" w:rsidTr="00FA215E">
        <w:tc>
          <w:tcPr>
            <w:tcW w:w="4508" w:type="dxa"/>
          </w:tcPr>
          <w:p w:rsidR="00637F47" w:rsidRPr="00D2578D" w:rsidRDefault="00637F47" w:rsidP="00FA215E">
            <w:pPr>
              <w:pStyle w:val="Default"/>
              <w:rPr>
                <w:color w:val="auto"/>
                <w:sz w:val="22"/>
                <w:szCs w:val="22"/>
              </w:rPr>
            </w:pPr>
            <w:r w:rsidRPr="00D2578D">
              <w:rPr>
                <w:color w:val="auto"/>
                <w:sz w:val="22"/>
                <w:szCs w:val="22"/>
              </w:rPr>
              <w:t xml:space="preserve">Dr Siobain O Donnell </w:t>
            </w:r>
          </w:p>
          <w:p w:rsidR="00637F47" w:rsidRPr="00D2578D" w:rsidRDefault="00637F47" w:rsidP="00FA215E">
            <w:pPr>
              <w:rPr>
                <w:rFonts w:ascii="Calibri" w:hAnsi="Calibri" w:cs="Calibri"/>
                <w:lang w:val="en-GB"/>
              </w:rPr>
            </w:pPr>
          </w:p>
        </w:tc>
        <w:tc>
          <w:tcPr>
            <w:tcW w:w="4508" w:type="dxa"/>
          </w:tcPr>
          <w:p w:rsidR="00637F47" w:rsidRPr="00D2578D" w:rsidRDefault="00637F47" w:rsidP="00FA215E">
            <w:pPr>
              <w:pStyle w:val="Default"/>
              <w:rPr>
                <w:color w:val="auto"/>
                <w:sz w:val="22"/>
                <w:szCs w:val="22"/>
              </w:rPr>
            </w:pPr>
            <w:r w:rsidRPr="00D2578D">
              <w:rPr>
                <w:color w:val="auto"/>
                <w:sz w:val="22"/>
                <w:szCs w:val="22"/>
              </w:rPr>
              <w:t>Programme Leader</w:t>
            </w:r>
            <w:r w:rsidR="00AE5B75" w:rsidRPr="00D2578D">
              <w:rPr>
                <w:color w:val="auto"/>
                <w:sz w:val="22"/>
                <w:szCs w:val="22"/>
              </w:rPr>
              <w:t xml:space="preserve"> in MA in Addiction Studies</w:t>
            </w:r>
            <w:r w:rsidRPr="00D2578D">
              <w:rPr>
                <w:color w:val="auto"/>
                <w:sz w:val="22"/>
                <w:szCs w:val="22"/>
              </w:rPr>
              <w:t xml:space="preserve"> a</w:t>
            </w:r>
            <w:r w:rsidR="00AE5B75" w:rsidRPr="00D2578D">
              <w:rPr>
                <w:color w:val="auto"/>
                <w:sz w:val="22"/>
                <w:szCs w:val="22"/>
              </w:rPr>
              <w:t xml:space="preserve">nd Lecturer </w:t>
            </w:r>
          </w:p>
        </w:tc>
      </w:tr>
      <w:tr w:rsidR="00637F47" w:rsidRPr="000A3F70" w:rsidTr="00FA215E">
        <w:tc>
          <w:tcPr>
            <w:tcW w:w="4508" w:type="dxa"/>
          </w:tcPr>
          <w:p w:rsidR="00637F47" w:rsidRPr="00D2578D" w:rsidRDefault="00637F47" w:rsidP="00FA215E">
            <w:pPr>
              <w:pStyle w:val="Default"/>
              <w:rPr>
                <w:color w:val="auto"/>
                <w:sz w:val="22"/>
                <w:szCs w:val="22"/>
              </w:rPr>
            </w:pPr>
            <w:r w:rsidRPr="00D2578D">
              <w:rPr>
                <w:color w:val="auto"/>
                <w:sz w:val="22"/>
                <w:szCs w:val="22"/>
              </w:rPr>
              <w:t xml:space="preserve">Ms Terry Ball </w:t>
            </w:r>
          </w:p>
        </w:tc>
        <w:tc>
          <w:tcPr>
            <w:tcW w:w="4508" w:type="dxa"/>
          </w:tcPr>
          <w:p w:rsidR="00637F47" w:rsidRPr="00D2578D" w:rsidRDefault="00AE5B75" w:rsidP="00FA215E">
            <w:pPr>
              <w:pStyle w:val="Default"/>
              <w:rPr>
                <w:color w:val="auto"/>
                <w:sz w:val="22"/>
                <w:szCs w:val="22"/>
              </w:rPr>
            </w:pPr>
            <w:r w:rsidRPr="00D2578D">
              <w:rPr>
                <w:color w:val="auto"/>
                <w:sz w:val="22"/>
                <w:szCs w:val="22"/>
              </w:rPr>
              <w:t>Programme Leader in MA in Psychoanalytic Psychotherapy and Lecturer</w:t>
            </w:r>
          </w:p>
        </w:tc>
      </w:tr>
      <w:tr w:rsidR="00637F47" w:rsidRPr="000A3F70" w:rsidTr="00FA215E">
        <w:tc>
          <w:tcPr>
            <w:tcW w:w="4508" w:type="dxa"/>
          </w:tcPr>
          <w:p w:rsidR="00637F47" w:rsidRPr="00D2578D" w:rsidRDefault="00637F47" w:rsidP="00FA215E">
            <w:pPr>
              <w:pStyle w:val="Default"/>
              <w:rPr>
                <w:color w:val="auto"/>
                <w:sz w:val="22"/>
                <w:szCs w:val="22"/>
              </w:rPr>
            </w:pPr>
            <w:r w:rsidRPr="00D2578D">
              <w:rPr>
                <w:color w:val="auto"/>
                <w:sz w:val="22"/>
                <w:szCs w:val="22"/>
              </w:rPr>
              <w:t xml:space="preserve">Dr Angelo Bottone </w:t>
            </w:r>
          </w:p>
        </w:tc>
        <w:tc>
          <w:tcPr>
            <w:tcW w:w="4508" w:type="dxa"/>
          </w:tcPr>
          <w:p w:rsidR="00637F47" w:rsidRPr="00D2578D" w:rsidRDefault="00637F47" w:rsidP="00FA215E">
            <w:r w:rsidRPr="00D2578D">
              <w:t>Lecturer</w:t>
            </w:r>
          </w:p>
        </w:tc>
      </w:tr>
      <w:tr w:rsidR="00637F47" w:rsidRPr="000A3F70" w:rsidTr="00FA215E">
        <w:tc>
          <w:tcPr>
            <w:tcW w:w="4508" w:type="dxa"/>
          </w:tcPr>
          <w:p w:rsidR="00637F47" w:rsidRPr="000A3F70" w:rsidRDefault="00637F47" w:rsidP="00FA215E">
            <w:r w:rsidRPr="000A3F70">
              <w:t>Dr Hugh Cummins</w:t>
            </w:r>
          </w:p>
        </w:tc>
        <w:tc>
          <w:tcPr>
            <w:tcW w:w="4508" w:type="dxa"/>
          </w:tcPr>
          <w:p w:rsidR="00637F47" w:rsidRPr="000A3F70" w:rsidRDefault="00637F47" w:rsidP="00FA215E">
            <w:r w:rsidRPr="000A3F70">
              <w:t>Lecturer</w:t>
            </w:r>
          </w:p>
        </w:tc>
      </w:tr>
      <w:tr w:rsidR="00637F47" w:rsidRPr="000A3F70" w:rsidTr="00FA215E">
        <w:tc>
          <w:tcPr>
            <w:tcW w:w="4508" w:type="dxa"/>
          </w:tcPr>
          <w:p w:rsidR="00637F47" w:rsidRPr="000A3F70" w:rsidRDefault="00637F47" w:rsidP="00FA215E">
            <w:r w:rsidRPr="000A3F70">
              <w:t>Dr Grainne Donohoe</w:t>
            </w:r>
          </w:p>
        </w:tc>
        <w:tc>
          <w:tcPr>
            <w:tcW w:w="4508" w:type="dxa"/>
          </w:tcPr>
          <w:p w:rsidR="00637F47" w:rsidRPr="000A3F70" w:rsidRDefault="00637F47" w:rsidP="00FA215E">
            <w:r w:rsidRPr="000A3F70">
              <w:t>Lecturer</w:t>
            </w:r>
          </w:p>
        </w:tc>
      </w:tr>
      <w:tr w:rsidR="00637F47" w:rsidRPr="000A3F70" w:rsidTr="00FA215E">
        <w:tc>
          <w:tcPr>
            <w:tcW w:w="4508" w:type="dxa"/>
          </w:tcPr>
          <w:p w:rsidR="00637F47" w:rsidRPr="000A3F70" w:rsidRDefault="00637F47" w:rsidP="00FA215E">
            <w:r w:rsidRPr="000A3F70">
              <w:t>Mr Andrew Honeyman</w:t>
            </w:r>
          </w:p>
        </w:tc>
        <w:tc>
          <w:tcPr>
            <w:tcW w:w="4508" w:type="dxa"/>
          </w:tcPr>
          <w:p w:rsidR="00637F47" w:rsidRPr="000A3F70" w:rsidRDefault="00637F47" w:rsidP="00FA215E">
            <w:r w:rsidRPr="000A3F70">
              <w:t xml:space="preserve">Lecturer </w:t>
            </w:r>
          </w:p>
        </w:tc>
      </w:tr>
      <w:tr w:rsidR="00637F47" w:rsidRPr="000A3F70" w:rsidTr="00FA215E">
        <w:tc>
          <w:tcPr>
            <w:tcW w:w="4508" w:type="dxa"/>
          </w:tcPr>
          <w:p w:rsidR="00637F47" w:rsidRPr="000A3F70" w:rsidRDefault="00637F47" w:rsidP="00FA215E">
            <w:r w:rsidRPr="000A3F70">
              <w:t>Dr Rik Loose</w:t>
            </w:r>
          </w:p>
        </w:tc>
        <w:tc>
          <w:tcPr>
            <w:tcW w:w="4508" w:type="dxa"/>
          </w:tcPr>
          <w:p w:rsidR="00637F47" w:rsidRPr="000A3F70" w:rsidRDefault="00637F47" w:rsidP="00FA215E">
            <w:r w:rsidRPr="000A3F70">
              <w:t>Lecturer</w:t>
            </w:r>
          </w:p>
        </w:tc>
      </w:tr>
      <w:tr w:rsidR="00637F47" w:rsidRPr="000A3F70" w:rsidTr="00FA215E">
        <w:tc>
          <w:tcPr>
            <w:tcW w:w="4508" w:type="dxa"/>
          </w:tcPr>
          <w:p w:rsidR="00637F47" w:rsidRPr="000A3F70" w:rsidRDefault="00637F47" w:rsidP="00FA215E">
            <w:r w:rsidRPr="000A3F70">
              <w:t>Mr Cathal O Keeffe</w:t>
            </w:r>
          </w:p>
        </w:tc>
        <w:tc>
          <w:tcPr>
            <w:tcW w:w="4508" w:type="dxa"/>
          </w:tcPr>
          <w:p w:rsidR="00637F47" w:rsidRPr="000A3F70" w:rsidRDefault="00637F47" w:rsidP="00FA215E">
            <w:r w:rsidRPr="000A3F70">
              <w:t>Lecturer</w:t>
            </w:r>
          </w:p>
        </w:tc>
      </w:tr>
      <w:tr w:rsidR="00637F47" w:rsidRPr="000A3F70" w:rsidTr="00FA215E">
        <w:tc>
          <w:tcPr>
            <w:tcW w:w="4508" w:type="dxa"/>
          </w:tcPr>
          <w:p w:rsidR="00637F47" w:rsidRPr="000A3F70" w:rsidRDefault="00637F47" w:rsidP="00FA215E">
            <w:r w:rsidRPr="000A3F70">
              <w:t>Dr Mary Payton</w:t>
            </w:r>
          </w:p>
        </w:tc>
        <w:tc>
          <w:tcPr>
            <w:tcW w:w="4508" w:type="dxa"/>
          </w:tcPr>
          <w:p w:rsidR="00637F47" w:rsidRPr="000A3F70" w:rsidRDefault="00637F47" w:rsidP="00FA215E">
            <w:r w:rsidRPr="000A3F70">
              <w:t>Lecturer</w:t>
            </w:r>
          </w:p>
        </w:tc>
      </w:tr>
      <w:tr w:rsidR="00637F47" w:rsidRPr="000A3F70" w:rsidTr="00FA215E">
        <w:tc>
          <w:tcPr>
            <w:tcW w:w="4508" w:type="dxa"/>
          </w:tcPr>
          <w:p w:rsidR="00637F47" w:rsidRPr="000A3F70" w:rsidRDefault="00637F47" w:rsidP="00FA215E">
            <w:r w:rsidRPr="000A3F70">
              <w:t>Dr Garry Prentice</w:t>
            </w:r>
          </w:p>
        </w:tc>
        <w:tc>
          <w:tcPr>
            <w:tcW w:w="4508" w:type="dxa"/>
          </w:tcPr>
          <w:p w:rsidR="00637F47" w:rsidRPr="000A3F70" w:rsidRDefault="00637F47" w:rsidP="00FA215E">
            <w:r w:rsidRPr="000A3F70">
              <w:t>Lecturer</w:t>
            </w:r>
          </w:p>
        </w:tc>
      </w:tr>
      <w:tr w:rsidR="009C7C20" w:rsidRPr="000A3F70" w:rsidTr="00FA215E">
        <w:tc>
          <w:tcPr>
            <w:tcW w:w="4508" w:type="dxa"/>
          </w:tcPr>
          <w:p w:rsidR="009C7C20" w:rsidRPr="000A3F70" w:rsidRDefault="009C7C20" w:rsidP="00FA215E">
            <w:r>
              <w:t>Ms Joanne Conway</w:t>
            </w:r>
          </w:p>
        </w:tc>
        <w:tc>
          <w:tcPr>
            <w:tcW w:w="4508" w:type="dxa"/>
          </w:tcPr>
          <w:p w:rsidR="009C7C20" w:rsidRPr="000A3F70" w:rsidRDefault="009C7C20" w:rsidP="00FA215E">
            <w:r>
              <w:t>Clinical Supervisor, Lecturer</w:t>
            </w:r>
          </w:p>
        </w:tc>
      </w:tr>
      <w:tr w:rsidR="009C7C20" w:rsidRPr="000A3F70" w:rsidTr="00FA215E">
        <w:tc>
          <w:tcPr>
            <w:tcW w:w="4508" w:type="dxa"/>
          </w:tcPr>
          <w:p w:rsidR="009C7C20" w:rsidRPr="000A3F70" w:rsidRDefault="009C7C20" w:rsidP="00FA215E">
            <w:r>
              <w:t>Mr Gerry French</w:t>
            </w:r>
          </w:p>
        </w:tc>
        <w:tc>
          <w:tcPr>
            <w:tcW w:w="4508" w:type="dxa"/>
          </w:tcPr>
          <w:p w:rsidR="009C7C20" w:rsidRPr="000A3F70" w:rsidRDefault="009C7C20" w:rsidP="00FA215E">
            <w:r>
              <w:t>Clinical Supervisor</w:t>
            </w:r>
          </w:p>
        </w:tc>
      </w:tr>
      <w:tr w:rsidR="009C7C20" w:rsidRPr="000A3F70" w:rsidTr="00FA215E">
        <w:tc>
          <w:tcPr>
            <w:tcW w:w="4508" w:type="dxa"/>
          </w:tcPr>
          <w:p w:rsidR="009C7C20" w:rsidRPr="000A3F70" w:rsidRDefault="00C678EF" w:rsidP="00FA215E">
            <w:r>
              <w:t>Ms Stephanie Metcalfe</w:t>
            </w:r>
          </w:p>
        </w:tc>
        <w:tc>
          <w:tcPr>
            <w:tcW w:w="4508" w:type="dxa"/>
          </w:tcPr>
          <w:p w:rsidR="009C7C20" w:rsidRPr="000A3F70" w:rsidRDefault="00C678EF" w:rsidP="00FA215E">
            <w:r>
              <w:t>Clinical Supervisor</w:t>
            </w:r>
          </w:p>
        </w:tc>
      </w:tr>
      <w:tr w:rsidR="009C7C20" w:rsidRPr="000A3F70" w:rsidTr="00FA215E">
        <w:tc>
          <w:tcPr>
            <w:tcW w:w="4508" w:type="dxa"/>
          </w:tcPr>
          <w:p w:rsidR="009C7C20" w:rsidRPr="000A3F70" w:rsidRDefault="00C678EF" w:rsidP="00FA215E">
            <w:r>
              <w:t>Ms Nicola Elmer</w:t>
            </w:r>
          </w:p>
        </w:tc>
        <w:tc>
          <w:tcPr>
            <w:tcW w:w="4508" w:type="dxa"/>
          </w:tcPr>
          <w:p w:rsidR="009C7C20" w:rsidRPr="000A3F70" w:rsidRDefault="00C678EF" w:rsidP="00FA215E">
            <w:r>
              <w:t>Infant Observation Tutor</w:t>
            </w:r>
          </w:p>
        </w:tc>
      </w:tr>
      <w:tr w:rsidR="009C7C20" w:rsidRPr="000A3F70" w:rsidTr="00FA215E">
        <w:tc>
          <w:tcPr>
            <w:tcW w:w="4508" w:type="dxa"/>
          </w:tcPr>
          <w:p w:rsidR="009C7C20" w:rsidRPr="000A3F70" w:rsidRDefault="00C678EF" w:rsidP="00FA215E">
            <w:r>
              <w:t>Ms Lydia MacKenna</w:t>
            </w:r>
          </w:p>
        </w:tc>
        <w:tc>
          <w:tcPr>
            <w:tcW w:w="4508" w:type="dxa"/>
          </w:tcPr>
          <w:p w:rsidR="009C7C20" w:rsidRPr="000A3F70" w:rsidRDefault="00C678EF" w:rsidP="00FA215E">
            <w:r>
              <w:t>Infant Observation Tutor</w:t>
            </w:r>
          </w:p>
        </w:tc>
      </w:tr>
      <w:tr w:rsidR="009C7C20" w:rsidRPr="000A3F70" w:rsidTr="00FA215E">
        <w:tc>
          <w:tcPr>
            <w:tcW w:w="4508" w:type="dxa"/>
          </w:tcPr>
          <w:p w:rsidR="009C7C20" w:rsidRPr="000A3F70" w:rsidRDefault="00C678EF" w:rsidP="00FA215E">
            <w:r>
              <w:t>Ms Miriam Kavanagh</w:t>
            </w:r>
          </w:p>
        </w:tc>
        <w:tc>
          <w:tcPr>
            <w:tcW w:w="4508" w:type="dxa"/>
          </w:tcPr>
          <w:p w:rsidR="009C7C20" w:rsidRPr="000A3F70" w:rsidRDefault="00C678EF" w:rsidP="00FA215E">
            <w:r>
              <w:t>Infant Observation Tutor</w:t>
            </w:r>
          </w:p>
        </w:tc>
      </w:tr>
      <w:tr w:rsidR="009C7C20" w:rsidRPr="000A3F70" w:rsidTr="00FA215E">
        <w:tc>
          <w:tcPr>
            <w:tcW w:w="4508" w:type="dxa"/>
          </w:tcPr>
          <w:p w:rsidR="009C7C20" w:rsidRPr="000A3F70" w:rsidRDefault="00C678EF" w:rsidP="00FA215E">
            <w:r>
              <w:t>Dr Barry O Donnell</w:t>
            </w:r>
          </w:p>
        </w:tc>
        <w:tc>
          <w:tcPr>
            <w:tcW w:w="4508" w:type="dxa"/>
          </w:tcPr>
          <w:p w:rsidR="009C7C20" w:rsidRPr="000A3F70" w:rsidRDefault="00C678EF" w:rsidP="00FA215E">
            <w:r>
              <w:t>Psychiatric Case Conference, St Vincent’s Hospital</w:t>
            </w:r>
          </w:p>
        </w:tc>
      </w:tr>
      <w:tr w:rsidR="00637F47" w:rsidRPr="000A3F70" w:rsidTr="00FA215E">
        <w:tc>
          <w:tcPr>
            <w:tcW w:w="4508" w:type="dxa"/>
          </w:tcPr>
          <w:p w:rsidR="00637F47" w:rsidRPr="000A3F70" w:rsidRDefault="00637F47" w:rsidP="00FA215E">
            <w:r w:rsidRPr="000A3F70">
              <w:t>Ms Marie O Neill</w:t>
            </w:r>
          </w:p>
        </w:tc>
        <w:tc>
          <w:tcPr>
            <w:tcW w:w="4508" w:type="dxa"/>
          </w:tcPr>
          <w:p w:rsidR="00637F47" w:rsidRPr="000A3F70" w:rsidRDefault="00637F47" w:rsidP="00FA215E">
            <w:r w:rsidRPr="000A3F70">
              <w:t>Head Librarian</w:t>
            </w:r>
          </w:p>
        </w:tc>
      </w:tr>
      <w:tr w:rsidR="00637F47" w:rsidRPr="000A3F70" w:rsidTr="00FA215E">
        <w:tc>
          <w:tcPr>
            <w:tcW w:w="4508" w:type="dxa"/>
          </w:tcPr>
          <w:p w:rsidR="00637F47" w:rsidRPr="000A3F70" w:rsidRDefault="00637F47" w:rsidP="00FA215E">
            <w:r w:rsidRPr="000A3F70">
              <w:t>Mr Shane Mooney</w:t>
            </w:r>
          </w:p>
        </w:tc>
        <w:tc>
          <w:tcPr>
            <w:tcW w:w="4508" w:type="dxa"/>
          </w:tcPr>
          <w:p w:rsidR="00637F47" w:rsidRPr="000A3F70" w:rsidRDefault="00637F47" w:rsidP="00FA215E">
            <w:r w:rsidRPr="000A3F70">
              <w:t>Head of Student Experience</w:t>
            </w:r>
          </w:p>
        </w:tc>
      </w:tr>
      <w:tr w:rsidR="00637F47" w:rsidRPr="000A3F70" w:rsidTr="00FA215E">
        <w:tc>
          <w:tcPr>
            <w:tcW w:w="4508" w:type="dxa"/>
          </w:tcPr>
          <w:p w:rsidR="00637F47" w:rsidRPr="000A3F70" w:rsidRDefault="00637F47" w:rsidP="00FA215E">
            <w:r w:rsidRPr="000A3F70">
              <w:t>Dr Lee Richardson</w:t>
            </w:r>
          </w:p>
        </w:tc>
        <w:tc>
          <w:tcPr>
            <w:tcW w:w="4508" w:type="dxa"/>
          </w:tcPr>
          <w:p w:rsidR="00637F47" w:rsidRPr="000A3F70" w:rsidRDefault="00637F47" w:rsidP="00FA215E">
            <w:r w:rsidRPr="000A3F70">
              <w:t>Data Analytics and Reporting Manager</w:t>
            </w:r>
          </w:p>
        </w:tc>
      </w:tr>
      <w:tr w:rsidR="00637F47" w:rsidRPr="000A3F70" w:rsidTr="00FA215E">
        <w:tc>
          <w:tcPr>
            <w:tcW w:w="4508" w:type="dxa"/>
          </w:tcPr>
          <w:p w:rsidR="00637F47" w:rsidRPr="000A3F70" w:rsidRDefault="00637F47" w:rsidP="00FA215E">
            <w:r w:rsidRPr="000A3F70">
              <w:t>Ms Sinead O Brien</w:t>
            </w:r>
          </w:p>
        </w:tc>
        <w:tc>
          <w:tcPr>
            <w:tcW w:w="4508" w:type="dxa"/>
          </w:tcPr>
          <w:p w:rsidR="00637F47" w:rsidRPr="000A3F70" w:rsidRDefault="00637F47" w:rsidP="00FA215E">
            <w:r w:rsidRPr="000A3F70">
              <w:t>Head of Academic Enhancement</w:t>
            </w:r>
          </w:p>
        </w:tc>
      </w:tr>
      <w:tr w:rsidR="00637F47" w:rsidRPr="000A3F70" w:rsidTr="00FA215E">
        <w:tc>
          <w:tcPr>
            <w:tcW w:w="4508" w:type="dxa"/>
          </w:tcPr>
          <w:p w:rsidR="00637F47" w:rsidRPr="000A3F70" w:rsidRDefault="00637F47" w:rsidP="00FA215E">
            <w:r w:rsidRPr="000A3F70">
              <w:t>Ms Lori Johnston</w:t>
            </w:r>
          </w:p>
        </w:tc>
        <w:tc>
          <w:tcPr>
            <w:tcW w:w="4508" w:type="dxa"/>
          </w:tcPr>
          <w:p w:rsidR="00637F47" w:rsidRPr="000A3F70" w:rsidRDefault="00637F47" w:rsidP="00FA215E">
            <w:r w:rsidRPr="000A3F70">
              <w:t>Registrar</w:t>
            </w:r>
          </w:p>
        </w:tc>
      </w:tr>
      <w:tr w:rsidR="00637F47" w:rsidRPr="000A3F70" w:rsidTr="00FA215E">
        <w:tc>
          <w:tcPr>
            <w:tcW w:w="4508" w:type="dxa"/>
          </w:tcPr>
          <w:p w:rsidR="00637F47" w:rsidRPr="000A3F70" w:rsidRDefault="00637F47" w:rsidP="00FA215E">
            <w:r w:rsidRPr="000A3F70">
              <w:t>Mr Grant Goodwin</w:t>
            </w:r>
          </w:p>
        </w:tc>
        <w:tc>
          <w:tcPr>
            <w:tcW w:w="4508" w:type="dxa"/>
          </w:tcPr>
          <w:p w:rsidR="00637F47" w:rsidRPr="000A3F70" w:rsidRDefault="00637F47" w:rsidP="00FA215E">
            <w:r w:rsidRPr="000A3F70">
              <w:t>Department Administrator</w:t>
            </w:r>
          </w:p>
        </w:tc>
      </w:tr>
      <w:tr w:rsidR="00637F47" w:rsidRPr="000A3F70" w:rsidTr="00FA215E">
        <w:tc>
          <w:tcPr>
            <w:tcW w:w="4508" w:type="dxa"/>
          </w:tcPr>
          <w:p w:rsidR="00637F47" w:rsidRPr="000A3F70" w:rsidRDefault="00637F47" w:rsidP="00FA215E">
            <w:r w:rsidRPr="000A3F70">
              <w:t>Ms Miriam O Donoghue</w:t>
            </w:r>
          </w:p>
        </w:tc>
        <w:tc>
          <w:tcPr>
            <w:tcW w:w="4508" w:type="dxa"/>
          </w:tcPr>
          <w:p w:rsidR="00637F47" w:rsidRPr="000A3F70" w:rsidRDefault="00637F47" w:rsidP="00FA215E">
            <w:r w:rsidRPr="000A3F70">
              <w:t>Head of Academic Programmes</w:t>
            </w:r>
          </w:p>
        </w:tc>
      </w:tr>
    </w:tbl>
    <w:p w:rsidR="00527584" w:rsidRPr="000A3F70" w:rsidRDefault="00527584" w:rsidP="00527584"/>
    <w:p w:rsidR="00527584" w:rsidRPr="000A3F70" w:rsidRDefault="00527584" w:rsidP="00527584">
      <w:pPr>
        <w:pStyle w:val="Heading2"/>
        <w:rPr>
          <w:color w:val="auto"/>
        </w:rPr>
      </w:pPr>
      <w:bookmarkStart w:id="4" w:name="_Toc513221576"/>
      <w:r w:rsidRPr="000A3F70">
        <w:rPr>
          <w:color w:val="auto"/>
        </w:rPr>
        <w:t>Agenda</w:t>
      </w:r>
      <w:bookmarkEnd w:id="4"/>
    </w:p>
    <w:p w:rsidR="00527584" w:rsidRPr="000A3F70" w:rsidRDefault="00472A27" w:rsidP="00527584">
      <w:r w:rsidRPr="000A3F70">
        <w:t>See Appendix 2</w:t>
      </w:r>
    </w:p>
    <w:p w:rsidR="00527584" w:rsidRPr="000A3F70" w:rsidRDefault="00527584" w:rsidP="00527584">
      <w:pPr>
        <w:pStyle w:val="Heading2"/>
        <w:rPr>
          <w:color w:val="auto"/>
        </w:rPr>
      </w:pPr>
      <w:bookmarkStart w:id="5" w:name="_Toc513221577"/>
      <w:r w:rsidRPr="000A3F70">
        <w:rPr>
          <w:color w:val="auto"/>
        </w:rPr>
        <w:t>Persons Met</w:t>
      </w:r>
      <w:bookmarkEnd w:id="5"/>
    </w:p>
    <w:p w:rsidR="006F0ACA" w:rsidRPr="000A3F70" w:rsidRDefault="006F0ACA" w:rsidP="00BE6296">
      <w:pPr>
        <w:pStyle w:val="Heading2"/>
        <w:numPr>
          <w:ilvl w:val="0"/>
          <w:numId w:val="0"/>
        </w:numPr>
        <w:rPr>
          <w:color w:val="auto"/>
        </w:rPr>
      </w:pPr>
      <w:bookmarkStart w:id="6" w:name="_Toc510028473"/>
      <w:bookmarkStart w:id="7" w:name="_Toc513221578"/>
      <w:r w:rsidRPr="000A3F70">
        <w:rPr>
          <w:color w:val="auto"/>
        </w:rPr>
        <w:t>Staff, Students and Graduates with whom the Panel Met</w:t>
      </w:r>
      <w:bookmarkEnd w:id="6"/>
      <w:bookmarkEnd w:id="7"/>
    </w:p>
    <w:p w:rsidR="006F0ACA" w:rsidRPr="000A3F70" w:rsidRDefault="006F0ACA" w:rsidP="006F0ACA">
      <w:r w:rsidRPr="000A3F70">
        <w:t>Senior Management</w:t>
      </w:r>
    </w:p>
    <w:tbl>
      <w:tblPr>
        <w:tblStyle w:val="TableGrid"/>
        <w:tblW w:w="9067" w:type="dxa"/>
        <w:tblLook w:val="04A0" w:firstRow="1" w:lastRow="0" w:firstColumn="1" w:lastColumn="0" w:noHBand="0" w:noVBand="1"/>
      </w:tblPr>
      <w:tblGrid>
        <w:gridCol w:w="4621"/>
        <w:gridCol w:w="4446"/>
      </w:tblGrid>
      <w:tr w:rsidR="000A3F70" w:rsidRPr="000A3F70" w:rsidTr="00B26047">
        <w:tc>
          <w:tcPr>
            <w:tcW w:w="4621" w:type="dxa"/>
          </w:tcPr>
          <w:p w:rsidR="006F0ACA" w:rsidRPr="000A3F70" w:rsidRDefault="006F0ACA" w:rsidP="00FA215E">
            <w:pPr>
              <w:rPr>
                <w:rFonts w:ascii="Calibri" w:hAnsi="Calibri" w:cs="Calibri"/>
                <w:b/>
                <w:bCs/>
                <w:sz w:val="18"/>
                <w:szCs w:val="18"/>
              </w:rPr>
            </w:pPr>
            <w:r w:rsidRPr="000A3F70">
              <w:t>Andrew Conlan-Trant</w:t>
            </w:r>
          </w:p>
        </w:tc>
        <w:tc>
          <w:tcPr>
            <w:tcW w:w="4446" w:type="dxa"/>
          </w:tcPr>
          <w:p w:rsidR="006F0ACA" w:rsidRPr="000A3F70" w:rsidRDefault="006F0ACA" w:rsidP="00FA215E">
            <w:pPr>
              <w:rPr>
                <w:rFonts w:ascii="Calibri" w:hAnsi="Calibri" w:cs="Calibri"/>
                <w:b/>
                <w:bCs/>
                <w:sz w:val="18"/>
                <w:szCs w:val="18"/>
              </w:rPr>
            </w:pPr>
            <w:r w:rsidRPr="000A3F70">
              <w:t>Executive Dean</w:t>
            </w:r>
          </w:p>
        </w:tc>
      </w:tr>
      <w:tr w:rsidR="000A3F70" w:rsidRPr="000A3F70" w:rsidTr="00B26047">
        <w:tc>
          <w:tcPr>
            <w:tcW w:w="4621" w:type="dxa"/>
          </w:tcPr>
          <w:p w:rsidR="006F0ACA" w:rsidRPr="000A3F70" w:rsidRDefault="006F0ACA" w:rsidP="00FA215E">
            <w:r w:rsidRPr="000A3F70">
              <w:t>Miriam O’Donoghue</w:t>
            </w:r>
          </w:p>
        </w:tc>
        <w:tc>
          <w:tcPr>
            <w:tcW w:w="4446" w:type="dxa"/>
          </w:tcPr>
          <w:p w:rsidR="006F0ACA" w:rsidRPr="000A3F70" w:rsidRDefault="006F0ACA" w:rsidP="00FA215E">
            <w:r w:rsidRPr="000A3F70">
              <w:t>Head of Academic Programmes</w:t>
            </w:r>
          </w:p>
        </w:tc>
      </w:tr>
      <w:tr w:rsidR="000A3F70" w:rsidRPr="000A3F70" w:rsidTr="00B26047">
        <w:tc>
          <w:tcPr>
            <w:tcW w:w="4621" w:type="dxa"/>
          </w:tcPr>
          <w:p w:rsidR="006F0ACA" w:rsidRPr="000A3F70" w:rsidRDefault="006F0ACA" w:rsidP="00FA215E">
            <w:r w:rsidRPr="000A3F70">
              <w:t>Lori Johnston</w:t>
            </w:r>
          </w:p>
        </w:tc>
        <w:tc>
          <w:tcPr>
            <w:tcW w:w="4446" w:type="dxa"/>
          </w:tcPr>
          <w:p w:rsidR="006F0ACA" w:rsidRPr="000A3F70" w:rsidRDefault="006F0ACA" w:rsidP="00FA215E">
            <w:r w:rsidRPr="000A3F70">
              <w:t>Registrar</w:t>
            </w:r>
          </w:p>
        </w:tc>
      </w:tr>
      <w:tr w:rsidR="000A3F70" w:rsidRPr="000A3F70" w:rsidTr="00B26047">
        <w:tc>
          <w:tcPr>
            <w:tcW w:w="4621" w:type="dxa"/>
          </w:tcPr>
          <w:p w:rsidR="006F0ACA" w:rsidRPr="000A3F70" w:rsidRDefault="006F0ACA" w:rsidP="00FA215E">
            <w:r w:rsidRPr="000A3F70">
              <w:t>Shane Mooney</w:t>
            </w:r>
          </w:p>
        </w:tc>
        <w:tc>
          <w:tcPr>
            <w:tcW w:w="4446" w:type="dxa"/>
          </w:tcPr>
          <w:p w:rsidR="006F0ACA" w:rsidRPr="000A3F70" w:rsidRDefault="006F0ACA" w:rsidP="00FA215E">
            <w:r w:rsidRPr="000A3F70">
              <w:t>Head of Student Experience</w:t>
            </w:r>
          </w:p>
        </w:tc>
      </w:tr>
      <w:tr w:rsidR="000A3F70" w:rsidRPr="000A3F70" w:rsidTr="00B26047">
        <w:tc>
          <w:tcPr>
            <w:tcW w:w="4621" w:type="dxa"/>
          </w:tcPr>
          <w:p w:rsidR="006F0ACA" w:rsidRPr="000A3F70" w:rsidRDefault="006F0ACA" w:rsidP="00FA215E">
            <w:r w:rsidRPr="000A3F70">
              <w:t>Sinéad O’Brien</w:t>
            </w:r>
          </w:p>
        </w:tc>
        <w:tc>
          <w:tcPr>
            <w:tcW w:w="4446" w:type="dxa"/>
          </w:tcPr>
          <w:p w:rsidR="006F0ACA" w:rsidRPr="000A3F70" w:rsidRDefault="006F0ACA" w:rsidP="00FA215E">
            <w:r w:rsidRPr="000A3F70">
              <w:t>Head of Academic Enhancement</w:t>
            </w:r>
          </w:p>
        </w:tc>
      </w:tr>
    </w:tbl>
    <w:p w:rsidR="00620FE9" w:rsidRPr="000A3F70" w:rsidRDefault="00620FE9" w:rsidP="006F0ACA"/>
    <w:p w:rsidR="006F0ACA" w:rsidRPr="000A3F70" w:rsidRDefault="006F0ACA" w:rsidP="006F0ACA">
      <w:r w:rsidRPr="000A3F70">
        <w:t>Dialogue on Learning Opportunities:</w:t>
      </w:r>
    </w:p>
    <w:tbl>
      <w:tblPr>
        <w:tblStyle w:val="TableGrid"/>
        <w:tblW w:w="9067" w:type="dxa"/>
        <w:tblLook w:val="04A0" w:firstRow="1" w:lastRow="0" w:firstColumn="1" w:lastColumn="0" w:noHBand="0" w:noVBand="1"/>
      </w:tblPr>
      <w:tblGrid>
        <w:gridCol w:w="4621"/>
        <w:gridCol w:w="4446"/>
      </w:tblGrid>
      <w:tr w:rsidR="000A3F70" w:rsidRPr="000A3F70" w:rsidTr="00B26047">
        <w:tc>
          <w:tcPr>
            <w:tcW w:w="4621" w:type="dxa"/>
          </w:tcPr>
          <w:p w:rsidR="006F0ACA" w:rsidRPr="000A3F70" w:rsidRDefault="006F0ACA" w:rsidP="00FA215E">
            <w:r w:rsidRPr="000A3F70">
              <w:t>Miriam O’Donoghue</w:t>
            </w:r>
          </w:p>
        </w:tc>
        <w:tc>
          <w:tcPr>
            <w:tcW w:w="4446" w:type="dxa"/>
          </w:tcPr>
          <w:p w:rsidR="006F0ACA" w:rsidRPr="000A3F70" w:rsidRDefault="006F0ACA" w:rsidP="00FA215E">
            <w:r w:rsidRPr="000A3F70">
              <w:t>Head of Academic Programmes</w:t>
            </w:r>
          </w:p>
        </w:tc>
      </w:tr>
      <w:tr w:rsidR="000A3F70" w:rsidRPr="000A3F70" w:rsidTr="00B26047">
        <w:tc>
          <w:tcPr>
            <w:tcW w:w="4621" w:type="dxa"/>
          </w:tcPr>
          <w:p w:rsidR="006F0ACA" w:rsidRPr="000A3F70" w:rsidRDefault="006F0ACA" w:rsidP="00FA215E">
            <w:r w:rsidRPr="000A3F70">
              <w:t>Lori Johnston</w:t>
            </w:r>
          </w:p>
        </w:tc>
        <w:tc>
          <w:tcPr>
            <w:tcW w:w="4446" w:type="dxa"/>
          </w:tcPr>
          <w:p w:rsidR="006F0ACA" w:rsidRPr="000A3F70" w:rsidRDefault="006F0ACA" w:rsidP="00FA215E">
            <w:r w:rsidRPr="000A3F70">
              <w:t>Registrar</w:t>
            </w:r>
          </w:p>
        </w:tc>
      </w:tr>
      <w:tr w:rsidR="000A3F70" w:rsidRPr="000A3F70" w:rsidTr="00B26047">
        <w:tc>
          <w:tcPr>
            <w:tcW w:w="4621" w:type="dxa"/>
          </w:tcPr>
          <w:p w:rsidR="006F0ACA" w:rsidRPr="000A3F70" w:rsidRDefault="006F0ACA" w:rsidP="00FA215E">
            <w:r w:rsidRPr="000A3F70">
              <w:t>Shane Mooney</w:t>
            </w:r>
          </w:p>
        </w:tc>
        <w:tc>
          <w:tcPr>
            <w:tcW w:w="4446" w:type="dxa"/>
          </w:tcPr>
          <w:p w:rsidR="006F0ACA" w:rsidRPr="000A3F70" w:rsidRDefault="006F0ACA" w:rsidP="00FA215E">
            <w:r w:rsidRPr="000A3F70">
              <w:t>Head of Student Experience</w:t>
            </w:r>
          </w:p>
        </w:tc>
      </w:tr>
      <w:tr w:rsidR="000A3F70" w:rsidRPr="000A3F70" w:rsidTr="00B26047">
        <w:tc>
          <w:tcPr>
            <w:tcW w:w="4621" w:type="dxa"/>
          </w:tcPr>
          <w:p w:rsidR="006F0ACA" w:rsidRPr="000A3F70" w:rsidRDefault="006F0ACA" w:rsidP="00FA215E">
            <w:r w:rsidRPr="000A3F70">
              <w:t>Sinéad O’Brien</w:t>
            </w:r>
          </w:p>
        </w:tc>
        <w:tc>
          <w:tcPr>
            <w:tcW w:w="4446" w:type="dxa"/>
          </w:tcPr>
          <w:p w:rsidR="006F0ACA" w:rsidRPr="000A3F70" w:rsidRDefault="006F0ACA" w:rsidP="00FA215E">
            <w:r w:rsidRPr="000A3F70">
              <w:t>Head of Academic Enhancement</w:t>
            </w:r>
          </w:p>
        </w:tc>
      </w:tr>
      <w:tr w:rsidR="000A3F70" w:rsidRPr="000A3F70" w:rsidTr="00B26047">
        <w:tc>
          <w:tcPr>
            <w:tcW w:w="4621" w:type="dxa"/>
          </w:tcPr>
          <w:p w:rsidR="006F0ACA" w:rsidRPr="000A3F70" w:rsidRDefault="006F0ACA" w:rsidP="00FA215E">
            <w:r w:rsidRPr="000A3F70">
              <w:t>Marie O Neill</w:t>
            </w:r>
          </w:p>
        </w:tc>
        <w:tc>
          <w:tcPr>
            <w:tcW w:w="4446" w:type="dxa"/>
          </w:tcPr>
          <w:p w:rsidR="006F0ACA" w:rsidRPr="000A3F70" w:rsidRDefault="006F0ACA" w:rsidP="00FA215E">
            <w:r w:rsidRPr="000A3F70">
              <w:t>Head of Library</w:t>
            </w:r>
          </w:p>
        </w:tc>
      </w:tr>
      <w:tr w:rsidR="000A3F70" w:rsidRPr="000A3F70" w:rsidTr="00B26047">
        <w:tc>
          <w:tcPr>
            <w:tcW w:w="4621" w:type="dxa"/>
          </w:tcPr>
          <w:p w:rsidR="00620FE9" w:rsidRPr="000A3F70" w:rsidRDefault="00620FE9" w:rsidP="00FA215E">
            <w:r w:rsidRPr="000A3F70">
              <w:t>Terry Ball</w:t>
            </w:r>
          </w:p>
        </w:tc>
        <w:tc>
          <w:tcPr>
            <w:tcW w:w="4446" w:type="dxa"/>
          </w:tcPr>
          <w:p w:rsidR="00620FE9" w:rsidRPr="000A3F70" w:rsidRDefault="00620FE9" w:rsidP="00FA215E">
            <w:r w:rsidRPr="000A3F70">
              <w:t>MA Psychoanalytic Psychotherapy Programme Leader</w:t>
            </w:r>
          </w:p>
        </w:tc>
      </w:tr>
      <w:tr w:rsidR="000A3F70" w:rsidRPr="000A3F70" w:rsidTr="00B26047">
        <w:tc>
          <w:tcPr>
            <w:tcW w:w="4621" w:type="dxa"/>
          </w:tcPr>
          <w:p w:rsidR="00620FE9" w:rsidRPr="000A3F70" w:rsidRDefault="00620FE9" w:rsidP="00FA215E">
            <w:r w:rsidRPr="000A3F70">
              <w:t>Siobáin O’Donnell</w:t>
            </w:r>
          </w:p>
        </w:tc>
        <w:tc>
          <w:tcPr>
            <w:tcW w:w="4446" w:type="dxa"/>
          </w:tcPr>
          <w:p w:rsidR="00620FE9" w:rsidRPr="000A3F70" w:rsidRDefault="00620FE9" w:rsidP="00FA215E">
            <w:r w:rsidRPr="000A3F70">
              <w:t>MA Addiction Studies Programme Leader</w:t>
            </w:r>
          </w:p>
        </w:tc>
      </w:tr>
    </w:tbl>
    <w:p w:rsidR="000A3F70" w:rsidRPr="000A3F70" w:rsidRDefault="000A3F70" w:rsidP="00620FE9">
      <w:pPr>
        <w:rPr>
          <w:rFonts w:ascii="Calibri" w:hAnsi="Calibri" w:cs="Calibri"/>
          <w:bCs/>
        </w:rPr>
      </w:pPr>
    </w:p>
    <w:p w:rsidR="00620FE9" w:rsidRPr="000A3F70" w:rsidRDefault="00620FE9" w:rsidP="00620FE9">
      <w:pPr>
        <w:rPr>
          <w:rFonts w:ascii="Calibri" w:hAnsi="Calibri" w:cs="Calibri"/>
          <w:bCs/>
        </w:rPr>
      </w:pPr>
      <w:r w:rsidRPr="000A3F70">
        <w:rPr>
          <w:rFonts w:ascii="Calibri" w:hAnsi="Calibri" w:cs="Calibri"/>
          <w:bCs/>
        </w:rPr>
        <w:t>MA Psychoanalytic Psychotherapy Team</w:t>
      </w:r>
    </w:p>
    <w:tbl>
      <w:tblPr>
        <w:tblW w:w="9067" w:type="dxa"/>
        <w:tblCellMar>
          <w:top w:w="15" w:type="dxa"/>
          <w:left w:w="15" w:type="dxa"/>
          <w:bottom w:w="15" w:type="dxa"/>
          <w:right w:w="15" w:type="dxa"/>
        </w:tblCellMar>
        <w:tblLook w:val="04A0" w:firstRow="1" w:lastRow="0" w:firstColumn="1" w:lastColumn="0" w:noHBand="0" w:noVBand="1"/>
      </w:tblPr>
      <w:tblGrid>
        <w:gridCol w:w="1672"/>
        <w:gridCol w:w="7395"/>
      </w:tblGrid>
      <w:tr w:rsidR="006F0ACA" w:rsidRPr="00D2578D"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ACA" w:rsidRPr="00D2578D" w:rsidRDefault="006F0ACA"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b/>
                <w:bCs/>
                <w:lang w:eastAsia="en-GB"/>
              </w:rPr>
              <w:t>Name</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ACA" w:rsidRPr="00D2578D" w:rsidRDefault="006F0ACA"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b/>
                <w:bCs/>
                <w:lang w:eastAsia="en-GB"/>
              </w:rPr>
              <w:t>Job Title with the Provider</w:t>
            </w:r>
          </w:p>
        </w:tc>
      </w:tr>
      <w:tr w:rsidR="00620FE9" w:rsidRPr="00D2578D"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0FE9" w:rsidRPr="00D2578D" w:rsidRDefault="00620FE9" w:rsidP="00620FE9">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 xml:space="preserve"> Terry Ball</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0FE9" w:rsidRPr="00D2578D" w:rsidRDefault="00620FE9" w:rsidP="00620FE9">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Programme Leader</w:t>
            </w:r>
          </w:p>
        </w:tc>
      </w:tr>
      <w:tr w:rsidR="006F0ACA" w:rsidRPr="00D2578D"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ACA" w:rsidRPr="00D2578D" w:rsidRDefault="00620FE9"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Grainne Donohue</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ACA" w:rsidRPr="00D2578D" w:rsidRDefault="006F0ACA"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Lecturer</w:t>
            </w:r>
          </w:p>
        </w:tc>
      </w:tr>
      <w:tr w:rsidR="006F0ACA" w:rsidRPr="00D2578D"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ACA" w:rsidRPr="00D2578D" w:rsidRDefault="00620FE9"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Angelo Bottone</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ACA" w:rsidRPr="00D2578D" w:rsidRDefault="006F0ACA"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Lecturer</w:t>
            </w:r>
          </w:p>
        </w:tc>
      </w:tr>
      <w:tr w:rsidR="006F0ACA" w:rsidRPr="00D2578D"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ACA" w:rsidRPr="00D2578D" w:rsidRDefault="003F6F44"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Nicola Elmer</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ACA" w:rsidRPr="00D2578D" w:rsidRDefault="006F0ACA"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Lecturer</w:t>
            </w:r>
          </w:p>
        </w:tc>
      </w:tr>
      <w:tr w:rsidR="006F0ACA" w:rsidRPr="00D2578D"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F0ACA" w:rsidRPr="00D2578D" w:rsidRDefault="003F6F44" w:rsidP="00FA215E">
            <w:pPr>
              <w:spacing w:after="0" w:line="240" w:lineRule="auto"/>
              <w:rPr>
                <w:rFonts w:ascii="Calibri" w:eastAsia="Times New Roman" w:hAnsi="Calibri" w:cs="Calibri"/>
                <w:lang w:eastAsia="en-GB"/>
              </w:rPr>
            </w:pPr>
            <w:r w:rsidRPr="00D2578D">
              <w:rPr>
                <w:rFonts w:ascii="Calibri" w:eastAsia="Times New Roman" w:hAnsi="Calibri" w:cs="Calibri"/>
                <w:lang w:eastAsia="en-GB"/>
              </w:rPr>
              <w:t>Miriam Kavanagh</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F0ACA" w:rsidRPr="00D2578D" w:rsidRDefault="006F0ACA" w:rsidP="00FA215E">
            <w:pPr>
              <w:spacing w:after="0" w:line="240" w:lineRule="auto"/>
              <w:rPr>
                <w:rFonts w:ascii="Calibri" w:eastAsia="Times New Roman" w:hAnsi="Calibri" w:cs="Calibri"/>
                <w:lang w:eastAsia="en-GB"/>
              </w:rPr>
            </w:pPr>
            <w:r w:rsidRPr="00D2578D">
              <w:rPr>
                <w:rFonts w:ascii="Calibri" w:eastAsia="Times New Roman" w:hAnsi="Calibri" w:cs="Calibri"/>
                <w:lang w:eastAsia="en-GB"/>
              </w:rPr>
              <w:t>Lecturer</w:t>
            </w:r>
          </w:p>
        </w:tc>
      </w:tr>
      <w:tr w:rsidR="006F0ACA" w:rsidRPr="00D2578D"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ACA" w:rsidRPr="00D2578D" w:rsidRDefault="003F6F44"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Gerry French</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0ACA" w:rsidRPr="00D2578D" w:rsidRDefault="006F0ACA"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Lecturer</w:t>
            </w:r>
          </w:p>
        </w:tc>
      </w:tr>
      <w:tr w:rsidR="006F0ACA" w:rsidRPr="00D2578D"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F0ACA" w:rsidRPr="00D2578D" w:rsidRDefault="00620FE9" w:rsidP="00FA215E">
            <w:pPr>
              <w:spacing w:after="0" w:line="240" w:lineRule="auto"/>
              <w:rPr>
                <w:rFonts w:ascii="Calibri" w:eastAsia="Times New Roman" w:hAnsi="Calibri" w:cs="Calibri"/>
                <w:lang w:eastAsia="en-GB"/>
              </w:rPr>
            </w:pPr>
            <w:r w:rsidRPr="00D2578D">
              <w:rPr>
                <w:rFonts w:ascii="Calibri" w:eastAsia="Times New Roman" w:hAnsi="Calibri" w:cs="Calibri"/>
                <w:lang w:eastAsia="en-GB"/>
              </w:rPr>
              <w:t>Joanne Conway</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F0ACA" w:rsidRPr="00D2578D" w:rsidRDefault="00620FE9" w:rsidP="00FA215E">
            <w:pPr>
              <w:spacing w:after="0" w:line="240" w:lineRule="auto"/>
              <w:rPr>
                <w:rFonts w:ascii="Calibri" w:eastAsia="Times New Roman" w:hAnsi="Calibri" w:cs="Calibri"/>
                <w:lang w:eastAsia="en-GB"/>
              </w:rPr>
            </w:pPr>
            <w:r w:rsidRPr="00D2578D">
              <w:rPr>
                <w:rFonts w:ascii="Calibri" w:eastAsia="Times New Roman" w:hAnsi="Calibri" w:cs="Calibri"/>
                <w:lang w:eastAsia="en-GB"/>
              </w:rPr>
              <w:t>Lecturer</w:t>
            </w:r>
          </w:p>
        </w:tc>
      </w:tr>
      <w:tr w:rsidR="006F0ACA" w:rsidRPr="00D2578D"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F0ACA" w:rsidRPr="00D2578D" w:rsidRDefault="006F0ACA" w:rsidP="00FA215E">
            <w:pPr>
              <w:spacing w:after="0" w:line="240" w:lineRule="auto"/>
              <w:rPr>
                <w:rFonts w:ascii="Calibri" w:eastAsia="Times New Roman" w:hAnsi="Calibri" w:cs="Calibri"/>
                <w:lang w:eastAsia="en-GB"/>
              </w:rPr>
            </w:pPr>
            <w:r w:rsidRPr="00D2578D">
              <w:rPr>
                <w:rFonts w:ascii="Calibri" w:eastAsia="Times New Roman" w:hAnsi="Calibri" w:cs="Calibri"/>
                <w:lang w:eastAsia="en-GB"/>
              </w:rPr>
              <w:t>Dr Rik Loose</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F0ACA" w:rsidRPr="00D2578D" w:rsidRDefault="006F0ACA" w:rsidP="00FA215E">
            <w:pPr>
              <w:spacing w:after="0" w:line="240" w:lineRule="auto"/>
              <w:rPr>
                <w:rFonts w:ascii="Calibri" w:eastAsia="Times New Roman" w:hAnsi="Calibri" w:cs="Calibri"/>
                <w:lang w:eastAsia="en-GB"/>
              </w:rPr>
            </w:pPr>
            <w:r w:rsidRPr="00D2578D">
              <w:rPr>
                <w:rFonts w:ascii="Calibri" w:eastAsia="Times New Roman" w:hAnsi="Calibri" w:cs="Calibri"/>
                <w:lang w:eastAsia="en-GB"/>
              </w:rPr>
              <w:t>Lecturer</w:t>
            </w:r>
          </w:p>
        </w:tc>
      </w:tr>
    </w:tbl>
    <w:p w:rsidR="00BE6296" w:rsidRPr="00D2578D" w:rsidRDefault="00BE6296" w:rsidP="006F0ACA">
      <w:pPr>
        <w:rPr>
          <w:rFonts w:ascii="Calibri" w:hAnsi="Calibri" w:cs="Calibri"/>
          <w:bCs/>
        </w:rPr>
      </w:pPr>
    </w:p>
    <w:p w:rsidR="003F6F44" w:rsidRPr="000A3F70" w:rsidRDefault="003F6F44" w:rsidP="006F0ACA">
      <w:pPr>
        <w:rPr>
          <w:rFonts w:ascii="Calibri" w:hAnsi="Calibri" w:cs="Calibri"/>
          <w:bCs/>
        </w:rPr>
      </w:pPr>
      <w:r w:rsidRPr="000A3F70">
        <w:rPr>
          <w:rFonts w:ascii="Calibri" w:hAnsi="Calibri" w:cs="Calibri"/>
          <w:bCs/>
        </w:rPr>
        <w:t>MA Addiction Studies Team</w:t>
      </w:r>
    </w:p>
    <w:tbl>
      <w:tblPr>
        <w:tblW w:w="9067" w:type="dxa"/>
        <w:tblCellMar>
          <w:top w:w="15" w:type="dxa"/>
          <w:left w:w="15" w:type="dxa"/>
          <w:bottom w:w="15" w:type="dxa"/>
          <w:right w:w="15" w:type="dxa"/>
        </w:tblCellMar>
        <w:tblLook w:val="04A0" w:firstRow="1" w:lastRow="0" w:firstColumn="1" w:lastColumn="0" w:noHBand="0" w:noVBand="1"/>
      </w:tblPr>
      <w:tblGrid>
        <w:gridCol w:w="1828"/>
        <w:gridCol w:w="7239"/>
      </w:tblGrid>
      <w:tr w:rsidR="003F6F44" w:rsidRPr="000A3F70"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6F44" w:rsidRPr="00D2578D" w:rsidRDefault="003F6F44"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b/>
                <w:bCs/>
                <w:lang w:eastAsia="en-GB"/>
              </w:rPr>
              <w:t>Name</w:t>
            </w:r>
          </w:p>
        </w:tc>
        <w:tc>
          <w:tcPr>
            <w:tcW w:w="7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6F44" w:rsidRPr="00D2578D" w:rsidRDefault="003F6F44"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b/>
                <w:bCs/>
                <w:lang w:eastAsia="en-GB"/>
              </w:rPr>
              <w:t>Job Title with the Provider</w:t>
            </w:r>
          </w:p>
        </w:tc>
      </w:tr>
      <w:tr w:rsidR="003F6F44" w:rsidRPr="000A3F70"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6F44" w:rsidRPr="00D2578D" w:rsidRDefault="003F6F44" w:rsidP="003F6F44">
            <w:pPr>
              <w:spacing w:after="0" w:line="240" w:lineRule="auto"/>
              <w:rPr>
                <w:rFonts w:ascii="Times New Roman" w:eastAsia="Times New Roman" w:hAnsi="Times New Roman" w:cs="Times New Roman"/>
                <w:lang w:eastAsia="en-GB"/>
              </w:rPr>
            </w:pPr>
            <w:r w:rsidRPr="00D2578D">
              <w:t>Siobáin O’Donnell</w:t>
            </w:r>
          </w:p>
        </w:tc>
        <w:tc>
          <w:tcPr>
            <w:tcW w:w="7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6F44" w:rsidRPr="00D2578D" w:rsidRDefault="003F6F44" w:rsidP="003F6F44">
            <w:pPr>
              <w:spacing w:after="0" w:line="240" w:lineRule="auto"/>
              <w:rPr>
                <w:rFonts w:ascii="Times New Roman" w:eastAsia="Times New Roman" w:hAnsi="Times New Roman" w:cs="Times New Roman"/>
                <w:lang w:eastAsia="en-GB"/>
              </w:rPr>
            </w:pPr>
            <w:r w:rsidRPr="00D2578D">
              <w:t>MA Addiction Studies Programme Leader</w:t>
            </w:r>
          </w:p>
        </w:tc>
      </w:tr>
      <w:tr w:rsidR="003F6F44" w:rsidRPr="000A3F70"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6F44" w:rsidRPr="00D2578D" w:rsidRDefault="003F6F44"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Grainne Donohue</w:t>
            </w:r>
          </w:p>
        </w:tc>
        <w:tc>
          <w:tcPr>
            <w:tcW w:w="7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6F44" w:rsidRPr="00D2578D" w:rsidRDefault="003F6F44"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Lecturer</w:t>
            </w:r>
          </w:p>
        </w:tc>
      </w:tr>
      <w:tr w:rsidR="003F6F44" w:rsidRPr="000A3F70"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6F44" w:rsidRPr="00D2578D" w:rsidRDefault="003F6F44"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Angelo Bottone</w:t>
            </w:r>
          </w:p>
        </w:tc>
        <w:tc>
          <w:tcPr>
            <w:tcW w:w="7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6F44" w:rsidRPr="00D2578D" w:rsidRDefault="003F6F44"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Lecturer</w:t>
            </w:r>
          </w:p>
        </w:tc>
      </w:tr>
      <w:tr w:rsidR="003F6F44" w:rsidRPr="000A3F70"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6F44" w:rsidRPr="00D2578D" w:rsidRDefault="003F6F44"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Terry Ball</w:t>
            </w:r>
          </w:p>
        </w:tc>
        <w:tc>
          <w:tcPr>
            <w:tcW w:w="7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F6F44" w:rsidRPr="00D2578D" w:rsidRDefault="003F6F44" w:rsidP="00FA215E">
            <w:pPr>
              <w:spacing w:after="0" w:line="240" w:lineRule="auto"/>
              <w:rPr>
                <w:rFonts w:ascii="Times New Roman" w:eastAsia="Times New Roman" w:hAnsi="Times New Roman" w:cs="Times New Roman"/>
                <w:lang w:eastAsia="en-GB"/>
              </w:rPr>
            </w:pPr>
            <w:r w:rsidRPr="00D2578D">
              <w:rPr>
                <w:rFonts w:ascii="Calibri" w:eastAsia="Times New Roman" w:hAnsi="Calibri" w:cs="Calibri"/>
                <w:lang w:eastAsia="en-GB"/>
              </w:rPr>
              <w:t>Lecturer</w:t>
            </w:r>
          </w:p>
        </w:tc>
      </w:tr>
      <w:tr w:rsidR="003F6F44" w:rsidRPr="000A3F70"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6F44" w:rsidRPr="00D2578D" w:rsidRDefault="003F6F44" w:rsidP="00FA215E">
            <w:pPr>
              <w:spacing w:after="0" w:line="240" w:lineRule="auto"/>
              <w:rPr>
                <w:rFonts w:ascii="Calibri" w:eastAsia="Times New Roman" w:hAnsi="Calibri" w:cs="Calibri"/>
                <w:lang w:eastAsia="en-GB"/>
              </w:rPr>
            </w:pPr>
            <w:r w:rsidRPr="00D2578D">
              <w:rPr>
                <w:rFonts w:ascii="Calibri" w:eastAsia="Times New Roman" w:hAnsi="Calibri" w:cs="Calibri"/>
                <w:lang w:eastAsia="en-GB"/>
              </w:rPr>
              <w:t>Garry Prentice</w:t>
            </w:r>
          </w:p>
        </w:tc>
        <w:tc>
          <w:tcPr>
            <w:tcW w:w="7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6F44" w:rsidRPr="00D2578D" w:rsidRDefault="003F6F44" w:rsidP="00FA215E">
            <w:pPr>
              <w:spacing w:after="0" w:line="240" w:lineRule="auto"/>
              <w:rPr>
                <w:rFonts w:ascii="Calibri" w:eastAsia="Times New Roman" w:hAnsi="Calibri" w:cs="Calibri"/>
                <w:lang w:eastAsia="en-GB"/>
              </w:rPr>
            </w:pPr>
            <w:r w:rsidRPr="00D2578D">
              <w:rPr>
                <w:rFonts w:ascii="Calibri" w:eastAsia="Times New Roman" w:hAnsi="Calibri" w:cs="Calibri"/>
                <w:lang w:eastAsia="en-GB"/>
              </w:rPr>
              <w:t>Lecturer</w:t>
            </w:r>
          </w:p>
        </w:tc>
      </w:tr>
      <w:tr w:rsidR="003F6F44" w:rsidRPr="000A3F70" w:rsidTr="00B260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6F44" w:rsidRPr="00D2578D" w:rsidRDefault="003F6F44" w:rsidP="00FA215E">
            <w:pPr>
              <w:spacing w:after="0" w:line="240" w:lineRule="auto"/>
              <w:rPr>
                <w:rFonts w:ascii="Calibri" w:eastAsia="Times New Roman" w:hAnsi="Calibri" w:cs="Calibri"/>
                <w:lang w:eastAsia="en-GB"/>
              </w:rPr>
            </w:pPr>
            <w:r w:rsidRPr="00D2578D">
              <w:rPr>
                <w:rFonts w:ascii="Calibri" w:eastAsia="Times New Roman" w:hAnsi="Calibri" w:cs="Calibri"/>
                <w:lang w:eastAsia="en-GB"/>
              </w:rPr>
              <w:t>Dr Rik Loose</w:t>
            </w:r>
          </w:p>
        </w:tc>
        <w:tc>
          <w:tcPr>
            <w:tcW w:w="72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6F44" w:rsidRPr="00D2578D" w:rsidRDefault="003F6F44" w:rsidP="00FA215E">
            <w:pPr>
              <w:spacing w:after="0" w:line="240" w:lineRule="auto"/>
              <w:rPr>
                <w:rFonts w:ascii="Calibri" w:eastAsia="Times New Roman" w:hAnsi="Calibri" w:cs="Calibri"/>
                <w:lang w:eastAsia="en-GB"/>
              </w:rPr>
            </w:pPr>
            <w:r w:rsidRPr="00D2578D">
              <w:rPr>
                <w:rFonts w:ascii="Calibri" w:eastAsia="Times New Roman" w:hAnsi="Calibri" w:cs="Calibri"/>
                <w:lang w:eastAsia="en-GB"/>
              </w:rPr>
              <w:t>Lecturer</w:t>
            </w:r>
          </w:p>
        </w:tc>
      </w:tr>
    </w:tbl>
    <w:p w:rsidR="003F6F44" w:rsidRPr="000A3F70" w:rsidRDefault="003F6F44" w:rsidP="006F0ACA"/>
    <w:p w:rsidR="006F0ACA" w:rsidRPr="000A3F70" w:rsidRDefault="006F0ACA" w:rsidP="006F0ACA">
      <w:r w:rsidRPr="000A3F70">
        <w:t>Facilities Review</w:t>
      </w:r>
    </w:p>
    <w:tbl>
      <w:tblPr>
        <w:tblStyle w:val="TableGrid"/>
        <w:tblW w:w="0" w:type="auto"/>
        <w:tblLook w:val="04A0" w:firstRow="1" w:lastRow="0" w:firstColumn="1" w:lastColumn="0" w:noHBand="0" w:noVBand="1"/>
      </w:tblPr>
      <w:tblGrid>
        <w:gridCol w:w="4514"/>
        <w:gridCol w:w="4502"/>
      </w:tblGrid>
      <w:tr w:rsidR="006F0ACA" w:rsidRPr="000A3F70" w:rsidTr="003F6F44">
        <w:tc>
          <w:tcPr>
            <w:tcW w:w="4514" w:type="dxa"/>
          </w:tcPr>
          <w:p w:rsidR="006F0ACA" w:rsidRPr="000A3F70" w:rsidRDefault="003F6F44" w:rsidP="00FA215E">
            <w:r w:rsidRPr="000A3F70">
              <w:t>Eddie Ormonde</w:t>
            </w:r>
          </w:p>
        </w:tc>
        <w:tc>
          <w:tcPr>
            <w:tcW w:w="4502" w:type="dxa"/>
          </w:tcPr>
          <w:p w:rsidR="006F0ACA" w:rsidRPr="000A3F70" w:rsidRDefault="003F6F44" w:rsidP="00FA215E">
            <w:r w:rsidRPr="000A3F70">
              <w:t>Head of IT</w:t>
            </w:r>
          </w:p>
        </w:tc>
      </w:tr>
    </w:tbl>
    <w:p w:rsidR="00C54B53" w:rsidRPr="000A3F70" w:rsidRDefault="00C54B53" w:rsidP="006F0ACA">
      <w:pPr>
        <w:rPr>
          <w:rFonts w:ascii="Calibri" w:hAnsi="Calibri" w:cs="Calibri"/>
          <w:b/>
          <w:bCs/>
          <w:sz w:val="18"/>
          <w:szCs w:val="18"/>
        </w:rPr>
      </w:pPr>
    </w:p>
    <w:p w:rsidR="006F0ACA" w:rsidRPr="000A3F70" w:rsidRDefault="006F0ACA" w:rsidP="006F0ACA">
      <w:r w:rsidRPr="000A3F70">
        <w:t>Learners and Graduates</w:t>
      </w:r>
    </w:p>
    <w:tbl>
      <w:tblPr>
        <w:tblStyle w:val="TableGrid"/>
        <w:tblW w:w="0" w:type="auto"/>
        <w:tblLook w:val="04A0" w:firstRow="1" w:lastRow="0" w:firstColumn="1" w:lastColumn="0" w:noHBand="0" w:noVBand="1"/>
      </w:tblPr>
      <w:tblGrid>
        <w:gridCol w:w="4505"/>
        <w:gridCol w:w="4511"/>
      </w:tblGrid>
      <w:tr w:rsidR="006F0ACA" w:rsidRPr="000A3F70" w:rsidTr="00FA215E">
        <w:tc>
          <w:tcPr>
            <w:tcW w:w="4505" w:type="dxa"/>
          </w:tcPr>
          <w:p w:rsidR="006F0ACA" w:rsidRPr="000A3F70" w:rsidRDefault="003F6F44" w:rsidP="00FA215E">
            <w:r w:rsidRPr="000A3F70">
              <w:t>Rani Malayan</w:t>
            </w:r>
          </w:p>
        </w:tc>
        <w:tc>
          <w:tcPr>
            <w:tcW w:w="4511" w:type="dxa"/>
          </w:tcPr>
          <w:p w:rsidR="00C54B53" w:rsidRPr="000A3F70" w:rsidRDefault="003F6F44" w:rsidP="00FA215E">
            <w:pPr>
              <w:shd w:val="clear" w:color="auto" w:fill="FFFFFF"/>
            </w:pPr>
            <w:r w:rsidRPr="000A3F70">
              <w:t>Current student MA Addiction Studies</w:t>
            </w:r>
          </w:p>
        </w:tc>
      </w:tr>
      <w:tr w:rsidR="006F0ACA" w:rsidRPr="000A3F70" w:rsidTr="00FA215E">
        <w:tc>
          <w:tcPr>
            <w:tcW w:w="4505" w:type="dxa"/>
          </w:tcPr>
          <w:p w:rsidR="006F0ACA" w:rsidRPr="000A3F70" w:rsidRDefault="003F6F44" w:rsidP="00FA215E">
            <w:r w:rsidRPr="000A3F70">
              <w:t>Aisling Ní Bhriain</w:t>
            </w:r>
          </w:p>
        </w:tc>
        <w:tc>
          <w:tcPr>
            <w:tcW w:w="4511" w:type="dxa"/>
          </w:tcPr>
          <w:p w:rsidR="00C54B53" w:rsidRPr="000A3F70" w:rsidRDefault="003F6F44" w:rsidP="00FA215E">
            <w:pPr>
              <w:shd w:val="clear" w:color="auto" w:fill="FFFFFF"/>
            </w:pPr>
            <w:r w:rsidRPr="000A3F70">
              <w:t>Current student MA Addiction Studies</w:t>
            </w:r>
          </w:p>
        </w:tc>
      </w:tr>
      <w:tr w:rsidR="006F0ACA" w:rsidRPr="000A3F70" w:rsidTr="00FA215E">
        <w:tc>
          <w:tcPr>
            <w:tcW w:w="4505" w:type="dxa"/>
          </w:tcPr>
          <w:p w:rsidR="006F0ACA" w:rsidRPr="000A3F70" w:rsidRDefault="003F6F44" w:rsidP="00FA215E">
            <w:r w:rsidRPr="000A3F70">
              <w:t>Andrew Brady</w:t>
            </w:r>
          </w:p>
        </w:tc>
        <w:tc>
          <w:tcPr>
            <w:tcW w:w="4511" w:type="dxa"/>
          </w:tcPr>
          <w:p w:rsidR="00C54B53" w:rsidRPr="000A3F70" w:rsidRDefault="003F6F44" w:rsidP="00FA215E">
            <w:pPr>
              <w:shd w:val="clear" w:color="auto" w:fill="FFFFFF"/>
            </w:pPr>
            <w:r w:rsidRPr="000A3F70">
              <w:t>Current student MA Addiction Studies</w:t>
            </w:r>
          </w:p>
        </w:tc>
      </w:tr>
      <w:tr w:rsidR="006F0ACA" w:rsidRPr="000A3F70" w:rsidTr="00FA215E">
        <w:tc>
          <w:tcPr>
            <w:tcW w:w="4505" w:type="dxa"/>
          </w:tcPr>
          <w:p w:rsidR="006F0ACA" w:rsidRPr="000A3F70" w:rsidRDefault="003F6F44" w:rsidP="00FA215E">
            <w:r w:rsidRPr="000A3F70">
              <w:t>Bryan Harrison</w:t>
            </w:r>
          </w:p>
        </w:tc>
        <w:tc>
          <w:tcPr>
            <w:tcW w:w="4511" w:type="dxa"/>
          </w:tcPr>
          <w:p w:rsidR="00C54B53" w:rsidRPr="000A3F70" w:rsidRDefault="003F6F44" w:rsidP="00FA215E">
            <w:pPr>
              <w:shd w:val="clear" w:color="auto" w:fill="FFFFFF"/>
            </w:pPr>
            <w:r w:rsidRPr="000A3F70">
              <w:t>Current student MA Addiction Studies</w:t>
            </w:r>
          </w:p>
        </w:tc>
      </w:tr>
      <w:tr w:rsidR="006F0ACA" w:rsidRPr="000A3F70" w:rsidTr="00FA215E">
        <w:tc>
          <w:tcPr>
            <w:tcW w:w="4505" w:type="dxa"/>
          </w:tcPr>
          <w:p w:rsidR="006F0ACA" w:rsidRPr="000A3F70" w:rsidRDefault="003F6F44" w:rsidP="00FA215E">
            <w:r w:rsidRPr="000A3F70">
              <w:t>Tony Shortt</w:t>
            </w:r>
          </w:p>
        </w:tc>
        <w:tc>
          <w:tcPr>
            <w:tcW w:w="4511" w:type="dxa"/>
          </w:tcPr>
          <w:p w:rsidR="00C54B53" w:rsidRPr="000A3F70" w:rsidRDefault="003F6F44" w:rsidP="00FA215E">
            <w:pPr>
              <w:shd w:val="clear" w:color="auto" w:fill="FFFFFF"/>
            </w:pPr>
            <w:r w:rsidRPr="000A3F70">
              <w:t xml:space="preserve">Graduate </w:t>
            </w:r>
            <w:r w:rsidR="001F346E" w:rsidRPr="000A3F70">
              <w:t>MA Addiction Studies</w:t>
            </w:r>
          </w:p>
        </w:tc>
      </w:tr>
      <w:tr w:rsidR="003F6F44" w:rsidRPr="000A3F70" w:rsidTr="00FA215E">
        <w:tc>
          <w:tcPr>
            <w:tcW w:w="4505" w:type="dxa"/>
          </w:tcPr>
          <w:p w:rsidR="003F6F44" w:rsidRPr="000A3F70" w:rsidRDefault="003F6F44" w:rsidP="003F6F44">
            <w:r w:rsidRPr="000A3F70">
              <w:t>Monika Rampal</w:t>
            </w:r>
          </w:p>
        </w:tc>
        <w:tc>
          <w:tcPr>
            <w:tcW w:w="4511" w:type="dxa"/>
          </w:tcPr>
          <w:p w:rsidR="00C54B53" w:rsidRPr="000A3F70" w:rsidRDefault="003F6F44" w:rsidP="003F6F44">
            <w:pPr>
              <w:shd w:val="clear" w:color="auto" w:fill="FFFFFF"/>
            </w:pPr>
            <w:r w:rsidRPr="000A3F70">
              <w:t>Graduate</w:t>
            </w:r>
            <w:r w:rsidR="00C54B53" w:rsidRPr="000A3F70">
              <w:t xml:space="preserve"> </w:t>
            </w:r>
            <w:r w:rsidRPr="000A3F70">
              <w:t>MA Addiction Studies</w:t>
            </w:r>
          </w:p>
        </w:tc>
      </w:tr>
      <w:tr w:rsidR="006F0ACA" w:rsidRPr="000A3F70" w:rsidTr="00FA215E">
        <w:tc>
          <w:tcPr>
            <w:tcW w:w="4505" w:type="dxa"/>
          </w:tcPr>
          <w:p w:rsidR="001F346E" w:rsidRPr="000A3F70" w:rsidRDefault="00C54B53" w:rsidP="00FA215E">
            <w:r w:rsidRPr="000A3F70">
              <w:t>Gary Mohan</w:t>
            </w:r>
          </w:p>
        </w:tc>
        <w:tc>
          <w:tcPr>
            <w:tcW w:w="4511" w:type="dxa"/>
          </w:tcPr>
          <w:p w:rsidR="006F0ACA" w:rsidRPr="000A3F70" w:rsidRDefault="00C54B53" w:rsidP="00C54B53">
            <w:r w:rsidRPr="000A3F70">
              <w:t xml:space="preserve">1st Year </w:t>
            </w:r>
            <w:r w:rsidR="001F346E" w:rsidRPr="000A3F70">
              <w:t>MA Psychoanalytic Psychotherapy</w:t>
            </w:r>
          </w:p>
        </w:tc>
      </w:tr>
      <w:tr w:rsidR="00C54B53" w:rsidRPr="000A3F70" w:rsidTr="00FA215E">
        <w:tc>
          <w:tcPr>
            <w:tcW w:w="4505" w:type="dxa"/>
          </w:tcPr>
          <w:p w:rsidR="00497258" w:rsidRPr="000A3F70" w:rsidRDefault="00C54B53" w:rsidP="00FA215E">
            <w:r w:rsidRPr="000A3F70">
              <w:t>Maeve Burke</w:t>
            </w:r>
          </w:p>
        </w:tc>
        <w:tc>
          <w:tcPr>
            <w:tcW w:w="4511" w:type="dxa"/>
          </w:tcPr>
          <w:p w:rsidR="00C54B53" w:rsidRPr="000A3F70" w:rsidRDefault="00C54B53" w:rsidP="00C54B53">
            <w:r w:rsidRPr="000A3F70">
              <w:t xml:space="preserve">2nd Year MA Psychoanalytic Psychotherapy </w:t>
            </w:r>
          </w:p>
        </w:tc>
      </w:tr>
      <w:tr w:rsidR="00C54B53" w:rsidRPr="000A3F70" w:rsidTr="00FA215E">
        <w:tc>
          <w:tcPr>
            <w:tcW w:w="4505" w:type="dxa"/>
          </w:tcPr>
          <w:p w:rsidR="00C54B53" w:rsidRPr="000A3F70" w:rsidRDefault="00C54B53" w:rsidP="00C54B53">
            <w:r w:rsidRPr="000A3F70">
              <w:t>Denise Waters</w:t>
            </w:r>
          </w:p>
        </w:tc>
        <w:tc>
          <w:tcPr>
            <w:tcW w:w="4511" w:type="dxa"/>
          </w:tcPr>
          <w:p w:rsidR="00C54B53" w:rsidRPr="000A3F70" w:rsidRDefault="00C54B53" w:rsidP="00C54B53">
            <w:r w:rsidRPr="000A3F70">
              <w:t xml:space="preserve">3rd Year MA Psychoanalytic Psychotherapy </w:t>
            </w:r>
          </w:p>
        </w:tc>
      </w:tr>
      <w:tr w:rsidR="00C54B53" w:rsidRPr="000A3F70" w:rsidTr="00FA215E">
        <w:tc>
          <w:tcPr>
            <w:tcW w:w="4505" w:type="dxa"/>
          </w:tcPr>
          <w:p w:rsidR="00C54B53" w:rsidRPr="000A3F70" w:rsidRDefault="00C54B53" w:rsidP="00C54B53">
            <w:r w:rsidRPr="000A3F70">
              <w:t>Julian Heltzel</w:t>
            </w:r>
          </w:p>
        </w:tc>
        <w:tc>
          <w:tcPr>
            <w:tcW w:w="4511" w:type="dxa"/>
          </w:tcPr>
          <w:p w:rsidR="00C54B53" w:rsidRPr="000A3F70" w:rsidRDefault="00C54B53" w:rsidP="00C54B53">
            <w:r w:rsidRPr="000A3F70">
              <w:t xml:space="preserve">3rd Year MA Psychoanalytic Psychotherapy </w:t>
            </w:r>
          </w:p>
        </w:tc>
      </w:tr>
      <w:tr w:rsidR="00C54B53" w:rsidRPr="000A3F70" w:rsidTr="00FA215E">
        <w:tc>
          <w:tcPr>
            <w:tcW w:w="4505" w:type="dxa"/>
          </w:tcPr>
          <w:p w:rsidR="00C54B53" w:rsidRPr="000A3F70" w:rsidRDefault="00C54B53" w:rsidP="00C54B53">
            <w:r w:rsidRPr="000A3F70">
              <w:t>Hugh Jaret</w:t>
            </w:r>
          </w:p>
        </w:tc>
        <w:tc>
          <w:tcPr>
            <w:tcW w:w="4511" w:type="dxa"/>
          </w:tcPr>
          <w:p w:rsidR="00C54B53" w:rsidRPr="000A3F70" w:rsidRDefault="00C54B53" w:rsidP="00C54B53">
            <w:r w:rsidRPr="000A3F70">
              <w:t>Graduate MA Psychoanalytic Psychotherapy</w:t>
            </w:r>
          </w:p>
        </w:tc>
      </w:tr>
    </w:tbl>
    <w:p w:rsidR="006F0ACA" w:rsidRPr="000A3F70" w:rsidRDefault="006F0ACA" w:rsidP="00C54B53">
      <w:pPr>
        <w:spacing w:after="0" w:line="240" w:lineRule="auto"/>
      </w:pPr>
    </w:p>
    <w:p w:rsidR="00527584" w:rsidRPr="000A3F70" w:rsidRDefault="00527584">
      <w:pPr>
        <w:rPr>
          <w:rFonts w:asciiTheme="majorHAnsi" w:eastAsiaTheme="majorEastAsia" w:hAnsiTheme="majorHAnsi" w:cstheme="majorBidi"/>
          <w:sz w:val="26"/>
          <w:szCs w:val="26"/>
        </w:rPr>
      </w:pPr>
      <w:r w:rsidRPr="000A3F70">
        <w:br w:type="page"/>
      </w:r>
    </w:p>
    <w:p w:rsidR="00527584" w:rsidRDefault="008F0EA6" w:rsidP="008F0EA6">
      <w:pPr>
        <w:pStyle w:val="Heading1"/>
      </w:pPr>
      <w:bookmarkStart w:id="8" w:name="_Toc513221579"/>
      <w:r w:rsidRPr="000A3F70">
        <w:t>Review of the Programme Review Report</w:t>
      </w:r>
      <w:bookmarkEnd w:id="8"/>
    </w:p>
    <w:p w:rsidR="00C81F07" w:rsidRDefault="00C81F07" w:rsidP="00C81F07"/>
    <w:p w:rsidR="00C81F07" w:rsidRPr="00FC49AE" w:rsidRDefault="00C81F07" w:rsidP="00C81F07">
      <w:pPr>
        <w:spacing w:line="240" w:lineRule="auto"/>
        <w:rPr>
          <w:rFonts w:cstheme="minorHAnsi"/>
        </w:rPr>
      </w:pPr>
      <w:r w:rsidRPr="00FC49AE">
        <w:rPr>
          <w:rFonts w:cstheme="minorHAnsi"/>
        </w:rPr>
        <w:t xml:space="preserve">In general the panel found that both documents were well structured and easy to read. The contents followed the template provided in Section 5.2 of the Programme Review Manual 2016/2017. However, it was concluded that the content tended to be descriptive rather than analytical and reflective. There are areas of the documents where an analysis was not undertaken as prescribed by the guidelines. </w:t>
      </w:r>
    </w:p>
    <w:p w:rsidR="00B51F0C" w:rsidRPr="00FC49AE" w:rsidRDefault="00C81F07" w:rsidP="008F0EA6">
      <w:pPr>
        <w:rPr>
          <w:rFonts w:cstheme="minorHAnsi"/>
        </w:rPr>
      </w:pPr>
      <w:r w:rsidRPr="00FC49AE">
        <w:rPr>
          <w:rFonts w:cstheme="minorHAnsi"/>
        </w:rPr>
        <w:t>There follows a summary of the commentary on nine major areas of the reports and findings in relation to each area.</w:t>
      </w:r>
    </w:p>
    <w:p w:rsidR="008F0EA6" w:rsidRPr="000A3F70" w:rsidRDefault="008F0EA6" w:rsidP="008F0EA6">
      <w:pPr>
        <w:pStyle w:val="Heading2"/>
        <w:rPr>
          <w:color w:val="auto"/>
        </w:rPr>
      </w:pPr>
      <w:bookmarkStart w:id="9" w:name="_Toc513221580"/>
      <w:r w:rsidRPr="000A3F70">
        <w:rPr>
          <w:color w:val="auto"/>
        </w:rPr>
        <w:t>Fitness for Purpose of the Programme</w:t>
      </w:r>
      <w:bookmarkEnd w:id="9"/>
    </w:p>
    <w:p w:rsidR="00736328" w:rsidRDefault="00132939" w:rsidP="00895736">
      <w:pPr>
        <w:pStyle w:val="NormalWeb"/>
        <w:spacing w:before="0" w:beforeAutospacing="0" w:after="0" w:afterAutospacing="0"/>
        <w:rPr>
          <w:rFonts w:ascii="Calibri" w:hAnsi="Calibri" w:cs="Calibri"/>
          <w:sz w:val="22"/>
          <w:szCs w:val="22"/>
        </w:rPr>
      </w:pPr>
      <w:r w:rsidRPr="000A3F70">
        <w:rPr>
          <w:rFonts w:ascii="Calibri" w:hAnsi="Calibri" w:cs="Calibri"/>
          <w:sz w:val="22"/>
          <w:szCs w:val="22"/>
        </w:rPr>
        <w:t xml:space="preserve">The panel evaluated the observations, comments and suggestions </w:t>
      </w:r>
      <w:r w:rsidRPr="00FC49AE">
        <w:rPr>
          <w:rFonts w:ascii="Calibri" w:hAnsi="Calibri" w:cs="Calibri"/>
          <w:sz w:val="22"/>
          <w:szCs w:val="22"/>
        </w:rPr>
        <w:t xml:space="preserve">from </w:t>
      </w:r>
      <w:r w:rsidR="00C81F07" w:rsidRPr="00FC49AE">
        <w:rPr>
          <w:rFonts w:ascii="Calibri" w:hAnsi="Calibri" w:cs="Calibri"/>
          <w:sz w:val="22"/>
          <w:szCs w:val="22"/>
        </w:rPr>
        <w:t>internal and external stakeholders</w:t>
      </w:r>
      <w:r w:rsidRPr="00FC49AE">
        <w:rPr>
          <w:rFonts w:ascii="Calibri" w:hAnsi="Calibri" w:cs="Calibri"/>
          <w:sz w:val="22"/>
          <w:szCs w:val="22"/>
        </w:rPr>
        <w:t xml:space="preserve"> and these were duly factored into the review proce</w:t>
      </w:r>
      <w:r w:rsidR="00895736" w:rsidRPr="00FC49AE">
        <w:rPr>
          <w:rFonts w:ascii="Calibri" w:hAnsi="Calibri" w:cs="Calibri"/>
          <w:sz w:val="22"/>
          <w:szCs w:val="22"/>
        </w:rPr>
        <w:t xml:space="preserve">ss.  </w:t>
      </w:r>
      <w:r w:rsidR="00C81F07" w:rsidRPr="00FC49AE">
        <w:rPr>
          <w:rFonts w:ascii="Calibri" w:hAnsi="Calibri" w:cs="Calibri"/>
          <w:sz w:val="22"/>
          <w:szCs w:val="22"/>
        </w:rPr>
        <w:t xml:space="preserve">Internal stakeholders consisted of students and staff (academic, </w:t>
      </w:r>
      <w:r w:rsidR="00B51F0C" w:rsidRPr="00FC49AE">
        <w:rPr>
          <w:rFonts w:ascii="Calibri" w:hAnsi="Calibri" w:cs="Calibri"/>
          <w:sz w:val="22"/>
          <w:szCs w:val="22"/>
        </w:rPr>
        <w:t>support and administrative). Pro</w:t>
      </w:r>
      <w:r w:rsidR="00C81F07" w:rsidRPr="00FC49AE">
        <w:rPr>
          <w:rFonts w:ascii="Calibri" w:hAnsi="Calibri" w:cs="Calibri"/>
          <w:sz w:val="22"/>
          <w:szCs w:val="22"/>
        </w:rPr>
        <w:t>fessional</w:t>
      </w:r>
      <w:r w:rsidR="00895736" w:rsidRPr="00FC49AE">
        <w:rPr>
          <w:rFonts w:ascii="Calibri" w:hAnsi="Calibri" w:cs="Calibri"/>
          <w:sz w:val="22"/>
          <w:szCs w:val="22"/>
        </w:rPr>
        <w:t xml:space="preserve"> bodies</w:t>
      </w:r>
      <w:r w:rsidR="00895736">
        <w:rPr>
          <w:rFonts w:ascii="Calibri" w:hAnsi="Calibri" w:cs="Calibri"/>
          <w:sz w:val="22"/>
          <w:szCs w:val="22"/>
        </w:rPr>
        <w:t xml:space="preserve"> included the Irish </w:t>
      </w:r>
      <w:r w:rsidR="006B11D2" w:rsidRPr="000A3F70">
        <w:rPr>
          <w:rFonts w:ascii="Calibri" w:hAnsi="Calibri" w:cs="Calibri"/>
          <w:sz w:val="22"/>
          <w:szCs w:val="22"/>
        </w:rPr>
        <w:t>Association for Psychoanalysis and Psychotherapy (APPI), Irish Council for Psychotherapy (ICP)</w:t>
      </w:r>
      <w:r w:rsidRPr="000A3F70">
        <w:rPr>
          <w:rFonts w:ascii="Calibri" w:hAnsi="Calibri" w:cs="Calibri"/>
          <w:sz w:val="22"/>
          <w:szCs w:val="22"/>
        </w:rPr>
        <w:t xml:space="preserve"> and CORU, Ireland’s multi-professional health regulator.</w:t>
      </w:r>
      <w:r w:rsidR="006B11D2" w:rsidRPr="000A3F70">
        <w:rPr>
          <w:rFonts w:ascii="Calibri" w:hAnsi="Calibri" w:cs="Calibri"/>
          <w:sz w:val="22"/>
          <w:szCs w:val="22"/>
        </w:rPr>
        <w:t xml:space="preserve"> Consultations with key stakeholders such as St Vincent’s Hospital Group, the Health Service Executive (</w:t>
      </w:r>
      <w:r w:rsidR="006B11D2" w:rsidRPr="00FC49AE">
        <w:rPr>
          <w:rFonts w:ascii="Calibri" w:hAnsi="Calibri" w:cs="Calibri"/>
          <w:sz w:val="22"/>
          <w:szCs w:val="22"/>
        </w:rPr>
        <w:t xml:space="preserve">HSE), </w:t>
      </w:r>
      <w:r w:rsidR="00C81F07" w:rsidRPr="00FC49AE">
        <w:rPr>
          <w:rFonts w:ascii="Calibri" w:hAnsi="Calibri" w:cs="Calibri"/>
          <w:sz w:val="22"/>
          <w:szCs w:val="22"/>
        </w:rPr>
        <w:t>graduates,</w:t>
      </w:r>
      <w:r w:rsidR="00C81F07">
        <w:rPr>
          <w:rFonts w:ascii="Calibri" w:hAnsi="Calibri" w:cs="Calibri"/>
          <w:color w:val="C00000"/>
          <w:sz w:val="22"/>
          <w:szCs w:val="22"/>
        </w:rPr>
        <w:t xml:space="preserve"> </w:t>
      </w:r>
      <w:r w:rsidR="006B11D2" w:rsidRPr="000A3F70">
        <w:rPr>
          <w:rFonts w:ascii="Calibri" w:hAnsi="Calibri" w:cs="Calibri"/>
          <w:sz w:val="22"/>
          <w:szCs w:val="22"/>
        </w:rPr>
        <w:t xml:space="preserve">employers and charitable organisations were carried out for the review. </w:t>
      </w:r>
      <w:r w:rsidRPr="000A3F70">
        <w:rPr>
          <w:rFonts w:ascii="Calibri" w:hAnsi="Calibri" w:cs="Calibri"/>
          <w:sz w:val="22"/>
          <w:szCs w:val="22"/>
        </w:rPr>
        <w:t xml:space="preserve">The review process was also informed by the comparator analysis undertaken by DBS, a review of External Examiner reports and feedback obtained from industry and professional organisations. </w:t>
      </w:r>
    </w:p>
    <w:p w:rsidR="00736328" w:rsidRDefault="00736328" w:rsidP="00895736">
      <w:pPr>
        <w:pStyle w:val="NormalWeb"/>
        <w:spacing w:before="0" w:beforeAutospacing="0" w:after="0" w:afterAutospacing="0"/>
        <w:rPr>
          <w:rFonts w:ascii="Calibri" w:hAnsi="Calibri" w:cs="Calibri"/>
          <w:sz w:val="22"/>
          <w:szCs w:val="22"/>
        </w:rPr>
      </w:pPr>
    </w:p>
    <w:p w:rsidR="00132939" w:rsidRPr="000A3F70" w:rsidRDefault="00132939" w:rsidP="00895736">
      <w:pPr>
        <w:pStyle w:val="NormalWeb"/>
        <w:spacing w:before="0" w:beforeAutospacing="0" w:after="0" w:afterAutospacing="0"/>
      </w:pPr>
      <w:r w:rsidRPr="000A3F70">
        <w:rPr>
          <w:rFonts w:ascii="Calibri" w:hAnsi="Calibri" w:cs="Calibri"/>
          <w:sz w:val="22"/>
          <w:szCs w:val="22"/>
        </w:rPr>
        <w:t xml:space="preserve"> The panel found that the consultation process had been comprehensive and it was concluded </w:t>
      </w:r>
      <w:r w:rsidR="00736328">
        <w:rPr>
          <w:rFonts w:ascii="Calibri" w:hAnsi="Calibri" w:cs="Calibri"/>
          <w:sz w:val="22"/>
          <w:szCs w:val="22"/>
        </w:rPr>
        <w:t xml:space="preserve">that the proposed programmes </w:t>
      </w:r>
      <w:r w:rsidR="00736328" w:rsidRPr="00FC10F8">
        <w:rPr>
          <w:rFonts w:ascii="Calibri" w:hAnsi="Calibri" w:cs="Calibri"/>
          <w:sz w:val="22"/>
          <w:szCs w:val="22"/>
        </w:rPr>
        <w:t>were</w:t>
      </w:r>
      <w:r w:rsidRPr="00FC10F8">
        <w:rPr>
          <w:rFonts w:ascii="Calibri" w:hAnsi="Calibri" w:cs="Calibri"/>
          <w:sz w:val="22"/>
          <w:szCs w:val="22"/>
        </w:rPr>
        <w:t xml:space="preserve"> fit </w:t>
      </w:r>
      <w:r w:rsidRPr="000A3F70">
        <w:rPr>
          <w:rFonts w:ascii="Calibri" w:hAnsi="Calibri" w:cs="Calibri"/>
          <w:sz w:val="22"/>
          <w:szCs w:val="22"/>
        </w:rPr>
        <w:t xml:space="preserve">for purpose. Further commentary is provided in </w:t>
      </w:r>
      <w:r w:rsidR="00895736" w:rsidRPr="00895736">
        <w:rPr>
          <w:rFonts w:ascii="Calibri" w:hAnsi="Calibri" w:cs="Calibri"/>
          <w:sz w:val="22"/>
          <w:szCs w:val="22"/>
        </w:rPr>
        <w:t>Sections 7.6 and 7.7 of this report.</w:t>
      </w:r>
    </w:p>
    <w:p w:rsidR="008F0EA6" w:rsidRPr="000A3F70" w:rsidRDefault="008F0EA6" w:rsidP="008F0EA6"/>
    <w:p w:rsidR="008F0EA6" w:rsidRPr="000A3F70" w:rsidRDefault="008F0EA6" w:rsidP="008F0EA6">
      <w:pPr>
        <w:pStyle w:val="Heading2"/>
        <w:rPr>
          <w:color w:val="auto"/>
        </w:rPr>
      </w:pPr>
      <w:bookmarkStart w:id="10" w:name="_Toc513221581"/>
      <w:r w:rsidRPr="000A3F70">
        <w:rPr>
          <w:color w:val="auto"/>
        </w:rPr>
        <w:t>Achievement of the Programme of its Stated Objectives</w:t>
      </w:r>
      <w:bookmarkEnd w:id="10"/>
    </w:p>
    <w:p w:rsidR="00BF1796" w:rsidRDefault="00BF1796" w:rsidP="00BF1796">
      <w:pPr>
        <w:spacing w:after="0" w:line="240" w:lineRule="auto"/>
        <w:textAlignment w:val="baseline"/>
        <w:rPr>
          <w:rFonts w:ascii="Calibri" w:eastAsia="Times New Roman" w:hAnsi="Calibri" w:cs="Calibri"/>
          <w:lang w:eastAsia="en-GB"/>
        </w:rPr>
      </w:pPr>
      <w:r w:rsidRPr="000A3F70">
        <w:rPr>
          <w:rFonts w:cstheme="minorHAnsi"/>
        </w:rPr>
        <w:t xml:space="preserve">The aims, objectives and graduate profiles of each programme were outlined.  For the MA in Addiction Studies and the Postgraduate Diploma in Addiction Studies it was stated that successful completion of the programme </w:t>
      </w:r>
      <w:r w:rsidR="00C81F07" w:rsidRPr="00FC49AE">
        <w:rPr>
          <w:rFonts w:cstheme="minorHAnsi"/>
        </w:rPr>
        <w:t>provided</w:t>
      </w:r>
      <w:r w:rsidRPr="00FC49AE">
        <w:rPr>
          <w:rFonts w:ascii="Calibri" w:eastAsia="Times New Roman" w:hAnsi="Calibri" w:cs="Calibri"/>
          <w:lang w:eastAsia="en-GB"/>
        </w:rPr>
        <w:t xml:space="preserve"> learners</w:t>
      </w:r>
      <w:r w:rsidRPr="000A3F70">
        <w:rPr>
          <w:rFonts w:ascii="Calibri" w:eastAsia="Times New Roman" w:hAnsi="Calibri" w:cs="Calibri"/>
          <w:lang w:eastAsia="en-GB"/>
        </w:rPr>
        <w:t xml:space="preserve"> with the knowledge, skills and competencies required to progress within specialist areas in the addiction field. The MA in Psychoanalytic Psychotherapy directed learners to establish and maintain a psychoanalytically informed therapeutic position for the practice of psychoanalytic psychotherapy.</w:t>
      </w:r>
    </w:p>
    <w:p w:rsidR="00BF1796" w:rsidRPr="000A3F70" w:rsidRDefault="00BF1796" w:rsidP="00BF1796">
      <w:pPr>
        <w:spacing w:after="0" w:line="240" w:lineRule="auto"/>
        <w:textAlignment w:val="baseline"/>
        <w:rPr>
          <w:rFonts w:ascii="Calibri" w:eastAsia="Times New Roman" w:hAnsi="Calibri" w:cs="Calibri"/>
          <w:lang w:eastAsia="en-GB"/>
        </w:rPr>
      </w:pPr>
    </w:p>
    <w:p w:rsidR="00ED6621" w:rsidRPr="00C81F07" w:rsidRDefault="00BF1796" w:rsidP="00ED6621">
      <w:pPr>
        <w:rPr>
          <w:rFonts w:cstheme="minorHAnsi"/>
          <w:color w:val="C00000"/>
        </w:rPr>
      </w:pPr>
      <w:r w:rsidRPr="000A3F70">
        <w:rPr>
          <w:rFonts w:cstheme="minorHAnsi"/>
        </w:rPr>
        <w:t xml:space="preserve"> </w:t>
      </w:r>
      <w:r w:rsidR="00ED6621" w:rsidRPr="000A3F70">
        <w:rPr>
          <w:rFonts w:cstheme="minorHAnsi"/>
        </w:rPr>
        <w:t xml:space="preserve">The panel found that the programme objectives and outcomes were clear and consistent with the QQI awards sought. Further commentary is </w:t>
      </w:r>
      <w:r w:rsidR="00ED6621" w:rsidRPr="00895736">
        <w:rPr>
          <w:rFonts w:cstheme="minorHAnsi"/>
        </w:rPr>
        <w:t>included in</w:t>
      </w:r>
      <w:r w:rsidR="00895736">
        <w:rPr>
          <w:rFonts w:cstheme="minorHAnsi"/>
        </w:rPr>
        <w:t xml:space="preserve"> S</w:t>
      </w:r>
      <w:r w:rsidR="00895736" w:rsidRPr="00895736">
        <w:rPr>
          <w:rFonts w:cstheme="minorHAnsi"/>
        </w:rPr>
        <w:t>ections 7.6 and 7.</w:t>
      </w:r>
      <w:r w:rsidR="00895736" w:rsidRPr="00D86505">
        <w:rPr>
          <w:rFonts w:cstheme="minorHAnsi"/>
        </w:rPr>
        <w:t>7</w:t>
      </w:r>
      <w:r w:rsidR="00C81F07" w:rsidRPr="00D86505">
        <w:rPr>
          <w:rFonts w:cstheme="minorHAnsi"/>
        </w:rPr>
        <w:t xml:space="preserve"> of this report</w:t>
      </w:r>
      <w:r w:rsidR="00C81F07">
        <w:rPr>
          <w:rFonts w:cstheme="minorHAnsi"/>
          <w:color w:val="C00000"/>
        </w:rPr>
        <w:t>.</w:t>
      </w:r>
    </w:p>
    <w:p w:rsidR="00BF1796" w:rsidRPr="000A3F70" w:rsidRDefault="00BF1796" w:rsidP="008F0EA6">
      <w:pPr>
        <w:rPr>
          <w:rFonts w:cstheme="minorHAnsi"/>
        </w:rPr>
      </w:pPr>
    </w:p>
    <w:p w:rsidR="002B4A51" w:rsidRDefault="008F0EA6" w:rsidP="002B4A51">
      <w:pPr>
        <w:pStyle w:val="Heading2"/>
        <w:ind w:left="718"/>
        <w:rPr>
          <w:color w:val="auto"/>
        </w:rPr>
      </w:pPr>
      <w:bookmarkStart w:id="11" w:name="_Toc513221582"/>
      <w:r w:rsidRPr="000A3F70">
        <w:rPr>
          <w:color w:val="auto"/>
        </w:rPr>
        <w:t>Learner Profile</w:t>
      </w:r>
      <w:bookmarkEnd w:id="11"/>
    </w:p>
    <w:p w:rsidR="00C81F07" w:rsidRPr="00FC49AE" w:rsidRDefault="00FA215E" w:rsidP="00D86505">
      <w:pPr>
        <w:rPr>
          <w:lang w:val="en-GB"/>
        </w:rPr>
      </w:pPr>
      <w:r w:rsidRPr="000A3F70">
        <w:rPr>
          <w:lang w:val="en-GB"/>
        </w:rPr>
        <w:t xml:space="preserve">The MA in Addiction Studies is aimed, primarily, at graduates of disciplines associated with this field, introducing them to the core theoretical and practical elements of Addiction Studies and bringing them to the point of sufficient skills, knowledge and know-how to match those of a graduate of a Level 9 award. </w:t>
      </w:r>
    </w:p>
    <w:p w:rsidR="00FA215E" w:rsidRPr="00C81F07" w:rsidRDefault="00895736" w:rsidP="00FA215E">
      <w:pPr>
        <w:pStyle w:val="NormalWeb"/>
        <w:spacing w:before="0" w:beforeAutospacing="0" w:after="0" w:afterAutospacing="0"/>
        <w:rPr>
          <w:rFonts w:asciiTheme="minorHAnsi" w:eastAsiaTheme="minorHAnsi" w:hAnsiTheme="minorHAnsi" w:cstheme="minorBidi"/>
          <w:color w:val="C00000"/>
          <w:sz w:val="22"/>
          <w:szCs w:val="22"/>
          <w:lang w:eastAsia="en-US"/>
        </w:rPr>
      </w:pPr>
      <w:r>
        <w:rPr>
          <w:rFonts w:asciiTheme="minorHAnsi" w:eastAsiaTheme="minorHAnsi" w:hAnsiTheme="minorHAnsi" w:cstheme="minorBidi"/>
          <w:sz w:val="22"/>
          <w:szCs w:val="22"/>
          <w:lang w:eastAsia="en-US"/>
        </w:rPr>
        <w:t>The learner profile</w:t>
      </w:r>
      <w:r w:rsidR="00C81F07">
        <w:rPr>
          <w:rFonts w:asciiTheme="minorHAnsi" w:eastAsiaTheme="minorHAnsi" w:hAnsiTheme="minorHAnsi" w:cstheme="minorBidi"/>
          <w:sz w:val="22"/>
          <w:szCs w:val="22"/>
          <w:lang w:eastAsia="en-US"/>
        </w:rPr>
        <w:t xml:space="preserve"> </w:t>
      </w:r>
      <w:r w:rsidR="00C81F07" w:rsidRPr="00FC49AE">
        <w:rPr>
          <w:rFonts w:asciiTheme="minorHAnsi" w:eastAsiaTheme="minorHAnsi" w:hAnsiTheme="minorHAnsi" w:cstheme="minorBidi"/>
          <w:sz w:val="22"/>
          <w:szCs w:val="22"/>
          <w:lang w:eastAsia="en-US"/>
        </w:rPr>
        <w:t>will be:</w:t>
      </w:r>
    </w:p>
    <w:p w:rsidR="00FA215E" w:rsidRPr="000A3F70" w:rsidRDefault="00FA215E" w:rsidP="00C90305">
      <w:pPr>
        <w:pStyle w:val="NormalWeb"/>
        <w:numPr>
          <w:ilvl w:val="0"/>
          <w:numId w:val="33"/>
        </w:numPr>
        <w:spacing w:before="0" w:beforeAutospacing="0" w:after="0" w:afterAutospacing="0"/>
        <w:textAlignment w:val="baseline"/>
        <w:rPr>
          <w:rFonts w:asciiTheme="minorHAnsi" w:eastAsiaTheme="minorHAnsi" w:hAnsiTheme="minorHAnsi" w:cstheme="minorBidi"/>
          <w:sz w:val="22"/>
          <w:szCs w:val="22"/>
          <w:lang w:eastAsia="en-US"/>
        </w:rPr>
      </w:pPr>
      <w:r w:rsidRPr="000A3F70">
        <w:rPr>
          <w:rFonts w:asciiTheme="minorHAnsi" w:eastAsiaTheme="minorHAnsi" w:hAnsiTheme="minorHAnsi" w:cstheme="minorBidi"/>
          <w:sz w:val="22"/>
          <w:szCs w:val="22"/>
          <w:lang w:eastAsia="en-US"/>
        </w:rPr>
        <w:t xml:space="preserve">Graduates with Second Class Level 8 Honours Degree (2.2) in a cognate </w:t>
      </w:r>
      <w:r w:rsidR="00895736">
        <w:rPr>
          <w:rFonts w:asciiTheme="minorHAnsi" w:eastAsiaTheme="minorHAnsi" w:hAnsiTheme="minorHAnsi" w:cstheme="minorBidi"/>
          <w:sz w:val="22"/>
          <w:szCs w:val="22"/>
          <w:lang w:eastAsia="en-US"/>
        </w:rPr>
        <w:t>discipline</w:t>
      </w:r>
      <w:r w:rsidRPr="000A3F70">
        <w:rPr>
          <w:rFonts w:asciiTheme="minorHAnsi" w:eastAsiaTheme="minorHAnsi" w:hAnsiTheme="minorHAnsi" w:cstheme="minorBidi"/>
          <w:sz w:val="22"/>
          <w:szCs w:val="22"/>
          <w:lang w:eastAsia="en-US"/>
        </w:rPr>
        <w:t xml:space="preserve"> from a recognised third level institution or an equivalent qualification.</w:t>
      </w:r>
    </w:p>
    <w:p w:rsidR="00FA215E" w:rsidRPr="000A3F70" w:rsidRDefault="00FA215E" w:rsidP="00C90305">
      <w:pPr>
        <w:pStyle w:val="NormalWeb"/>
        <w:numPr>
          <w:ilvl w:val="0"/>
          <w:numId w:val="33"/>
        </w:numPr>
        <w:spacing w:before="0" w:beforeAutospacing="0" w:after="0" w:afterAutospacing="0"/>
        <w:ind w:left="717"/>
        <w:textAlignment w:val="baseline"/>
        <w:rPr>
          <w:rFonts w:asciiTheme="minorHAnsi" w:eastAsiaTheme="minorHAnsi" w:hAnsiTheme="minorHAnsi" w:cstheme="minorBidi"/>
          <w:sz w:val="22"/>
          <w:szCs w:val="22"/>
          <w:lang w:eastAsia="en-US"/>
        </w:rPr>
      </w:pPr>
      <w:r w:rsidRPr="000A3F70">
        <w:rPr>
          <w:rFonts w:asciiTheme="minorHAnsi" w:eastAsiaTheme="minorHAnsi" w:hAnsiTheme="minorHAnsi" w:cstheme="minorBidi"/>
          <w:sz w:val="22"/>
          <w:szCs w:val="22"/>
          <w:lang w:eastAsia="en-US"/>
        </w:rPr>
        <w:t>Full-time/Part-time learners who may be already working in the sector and are seeking career advancement or upskilling in the area.</w:t>
      </w:r>
    </w:p>
    <w:p w:rsidR="006B0C98" w:rsidRPr="000A3F70" w:rsidRDefault="006B0C98" w:rsidP="006B0C98">
      <w:pPr>
        <w:pStyle w:val="NormalWeb"/>
        <w:spacing w:before="0" w:beforeAutospacing="0" w:after="120" w:afterAutospacing="0"/>
        <w:rPr>
          <w:rFonts w:asciiTheme="minorHAnsi" w:eastAsiaTheme="minorHAnsi" w:hAnsiTheme="minorHAnsi" w:cstheme="minorBidi"/>
          <w:sz w:val="22"/>
          <w:szCs w:val="22"/>
          <w:lang w:eastAsia="en-US"/>
        </w:rPr>
      </w:pPr>
    </w:p>
    <w:p w:rsidR="006B0C98" w:rsidRPr="000A3F70" w:rsidRDefault="00C81F07" w:rsidP="006B0C98">
      <w:pPr>
        <w:pStyle w:val="NormalWeb"/>
        <w:spacing w:before="0" w:beforeAutospacing="0" w:after="120" w:afterAutospacing="0"/>
        <w:rPr>
          <w:rFonts w:asciiTheme="minorHAnsi" w:eastAsiaTheme="minorHAnsi" w:hAnsiTheme="minorHAnsi" w:cstheme="minorBidi"/>
          <w:sz w:val="22"/>
          <w:szCs w:val="22"/>
          <w:lang w:eastAsia="en-US"/>
        </w:rPr>
      </w:pPr>
      <w:r w:rsidRPr="00FC49AE">
        <w:rPr>
          <w:rFonts w:asciiTheme="minorHAnsi" w:eastAsiaTheme="minorHAnsi" w:hAnsiTheme="minorHAnsi" w:cstheme="minorBidi"/>
          <w:sz w:val="22"/>
          <w:szCs w:val="22"/>
          <w:lang w:eastAsia="en-US"/>
        </w:rPr>
        <w:t>The MA in Psychoanalytic Psychotherapy</w:t>
      </w:r>
      <w:r w:rsidR="006B0C98" w:rsidRPr="000A3F70">
        <w:rPr>
          <w:rFonts w:asciiTheme="minorHAnsi" w:eastAsiaTheme="minorHAnsi" w:hAnsiTheme="minorHAnsi" w:cstheme="minorBidi"/>
          <w:sz w:val="22"/>
          <w:szCs w:val="22"/>
          <w:lang w:eastAsia="en-US"/>
        </w:rPr>
        <w:t xml:space="preserve"> is aimed at graduates of related or unrelated disciplines who have encountered psychoanalysis in some capacity and have been drawn to pursue formal study and training in the field and who wish to acquire a postgraduate qualification in psychotherapy based on psychoanalysis. The programme introduces learners to the core theoretical and practical elements of the disciplines and brings them to the point of sufficient skills, knowledge and know-how to match those of a graduate of award Level 9. </w:t>
      </w:r>
    </w:p>
    <w:p w:rsidR="006F4697" w:rsidRPr="000A3F70" w:rsidRDefault="006F4697" w:rsidP="006F4697">
      <w:pPr>
        <w:rPr>
          <w:lang w:val="en-GB"/>
        </w:rPr>
      </w:pPr>
    </w:p>
    <w:p w:rsidR="00FF1E45" w:rsidRPr="00FF1E45" w:rsidRDefault="008F0EA6" w:rsidP="00FF1E45">
      <w:pPr>
        <w:pStyle w:val="Heading2"/>
        <w:rPr>
          <w:color w:val="auto"/>
        </w:rPr>
      </w:pPr>
      <w:bookmarkStart w:id="12" w:name="_Toc513221583"/>
      <w:r w:rsidRPr="000A3F70">
        <w:rPr>
          <w:color w:val="auto"/>
        </w:rPr>
        <w:t>Learner Performance</w:t>
      </w:r>
      <w:bookmarkEnd w:id="12"/>
    </w:p>
    <w:p w:rsidR="00A26199" w:rsidRPr="00FC10F8" w:rsidRDefault="00BF3BDC" w:rsidP="00A26199">
      <w:r w:rsidRPr="00FC10F8">
        <w:t>A quantitative analysis was provided for each programme covering the areas specified in the Programme Review Manual 2016/2017 Section 3.</w:t>
      </w:r>
    </w:p>
    <w:p w:rsidR="00A26199" w:rsidRPr="00FC10F8" w:rsidRDefault="00BF3BDC" w:rsidP="00A26199">
      <w:pPr>
        <w:pStyle w:val="ListParagraph"/>
        <w:numPr>
          <w:ilvl w:val="0"/>
          <w:numId w:val="43"/>
        </w:numPr>
      </w:pPr>
      <w:r w:rsidRPr="00FC10F8">
        <w:t>Enrolments and Applications</w:t>
      </w:r>
    </w:p>
    <w:p w:rsidR="00903692" w:rsidRPr="00FC10F8" w:rsidRDefault="00867D9E" w:rsidP="00A26199">
      <w:pPr>
        <w:pStyle w:val="ListParagraph"/>
      </w:pPr>
      <w:r w:rsidRPr="00FC10F8">
        <w:t>In the case of the MA in Addiction Studies, enrolments and applications were at their highest level since 2014. The last intake in January 2018 consisted of 16 learners, 15 of whom were non-EU. In contrast, enrolments and applications for the MA in Psychoanalytic  Psychotherapy were at their lowest level since 2014 (4 and 10 respectively in 2017 compared to 9 and 30 in 2014). It was noted that learners are primarily domestic. It was stated that one reason for an unsuccessful application is the absence of prior formal training in ps</w:t>
      </w:r>
      <w:r w:rsidR="00903692" w:rsidRPr="00FC10F8">
        <w:t>ychoanalysis, hence the proposal to change the entry criteria to drop this requirement. Further commentary is provided in Section 7.7 of this report.</w:t>
      </w:r>
    </w:p>
    <w:p w:rsidR="00A26199" w:rsidRPr="00FC10F8" w:rsidRDefault="00A26199" w:rsidP="00A26199">
      <w:pPr>
        <w:pStyle w:val="ListParagraph"/>
      </w:pPr>
    </w:p>
    <w:p w:rsidR="00903692" w:rsidRPr="00FC10F8" w:rsidRDefault="00903692" w:rsidP="00A26199">
      <w:pPr>
        <w:pStyle w:val="ListParagraph"/>
        <w:numPr>
          <w:ilvl w:val="0"/>
          <w:numId w:val="44"/>
        </w:numPr>
      </w:pPr>
      <w:r w:rsidRPr="00FC10F8">
        <w:t>Attrition, Transfer, Progression, Completion, Drop Outs and Repeat Learners</w:t>
      </w:r>
    </w:p>
    <w:p w:rsidR="00903692" w:rsidRPr="00FC10F8" w:rsidRDefault="00903692" w:rsidP="00A26199">
      <w:pPr>
        <w:pStyle w:val="ListParagraph"/>
      </w:pPr>
      <w:r w:rsidRPr="00FC10F8">
        <w:t>A comprehensive analysis was provided for each programme including reasons for learners dropping out or being academically withdrawn. It was noted that for both programmes graduation rates are low relative to registrations</w:t>
      </w:r>
      <w:r w:rsidR="00284CD5" w:rsidRPr="00FC10F8">
        <w:t>. In the case of the MA in Addiction Studies for the 2016/17 year, there were 22 registrations and 3 completions. For the MA in Psychoanalytic Psychotherapy there were 20 registrations and 5 completions. The number of completions relative to registrations has declined during the period from 2014/15 to</w:t>
      </w:r>
      <w:r w:rsidR="00413D3E" w:rsidRPr="00FC10F8">
        <w:t xml:space="preserve"> 2016/17. It was concluded that these trends are not inconsistent with a part-time programme (MA in Psychoanalytic Psychotherapy) and a programme with a part-time option (MA in Addictions Studies).</w:t>
      </w:r>
    </w:p>
    <w:p w:rsidR="00FF1E45" w:rsidRPr="00FC10F8" w:rsidRDefault="00FF1E45" w:rsidP="00A26199">
      <w:pPr>
        <w:pStyle w:val="ListParagraph"/>
      </w:pPr>
    </w:p>
    <w:p w:rsidR="00FF1E45" w:rsidRPr="00FC10F8" w:rsidRDefault="00FF1E45" w:rsidP="00A26199">
      <w:pPr>
        <w:pStyle w:val="ListParagraph"/>
      </w:pPr>
      <w:r w:rsidRPr="00FC10F8">
        <w:t>Commentary on attendance is included in Section 7.12 of this report.</w:t>
      </w:r>
    </w:p>
    <w:p w:rsidR="00A26199" w:rsidRPr="00FC10F8" w:rsidRDefault="00A26199" w:rsidP="00A26199">
      <w:pPr>
        <w:pStyle w:val="ListParagraph"/>
      </w:pPr>
    </w:p>
    <w:p w:rsidR="00413D3E" w:rsidRPr="00FC10F8" w:rsidRDefault="00413D3E" w:rsidP="00A26199">
      <w:pPr>
        <w:pStyle w:val="ListParagraph"/>
        <w:numPr>
          <w:ilvl w:val="0"/>
          <w:numId w:val="45"/>
        </w:numPr>
      </w:pPr>
      <w:r w:rsidRPr="00FC10F8">
        <w:t>Analysis of Grades and QQI Classifications</w:t>
      </w:r>
    </w:p>
    <w:p w:rsidR="00413D3E" w:rsidRPr="00FC10F8" w:rsidRDefault="00413D3E" w:rsidP="00A26199">
      <w:pPr>
        <w:pStyle w:val="NormalWeb"/>
        <w:spacing w:before="0" w:beforeAutospacing="0" w:after="160" w:afterAutospacing="0"/>
        <w:ind w:left="720"/>
        <w:jc w:val="both"/>
        <w:rPr>
          <w:rFonts w:asciiTheme="minorHAnsi" w:eastAsiaTheme="minorHAnsi" w:hAnsiTheme="minorHAnsi" w:cstheme="minorBidi"/>
          <w:sz w:val="22"/>
          <w:szCs w:val="22"/>
          <w:lang w:eastAsia="en-US"/>
        </w:rPr>
      </w:pPr>
      <w:r w:rsidRPr="00FC10F8">
        <w:rPr>
          <w:rFonts w:asciiTheme="minorHAnsi" w:eastAsiaTheme="minorHAnsi" w:hAnsiTheme="minorHAnsi" w:cstheme="minorBidi"/>
          <w:sz w:val="22"/>
          <w:szCs w:val="22"/>
          <w:lang w:eastAsia="en-US"/>
        </w:rPr>
        <w:t xml:space="preserve">In the case of the MA in Addiction Studies the normal distribution of grades for each module across the academic years 14/15, 15/16 and 16/17. In the main it demonstrates that the entire grading range has been used and year on year the outcomes from each module are similar centred on an average grade of approx. 40 -50%. In modules where the average is below 40% this may be due to a number of failing and repeating learners and/or learners who did not submit material for marking. Further commentary is provided in Section </w:t>
      </w:r>
      <w:r w:rsidR="005C097B" w:rsidRPr="00FC10F8">
        <w:rPr>
          <w:rFonts w:asciiTheme="minorHAnsi" w:eastAsiaTheme="minorHAnsi" w:hAnsiTheme="minorHAnsi" w:cstheme="minorBidi"/>
          <w:sz w:val="22"/>
          <w:szCs w:val="22"/>
          <w:lang w:eastAsia="en-US"/>
        </w:rPr>
        <w:t>7.</w:t>
      </w:r>
      <w:r w:rsidR="00FF1E45" w:rsidRPr="00FC10F8">
        <w:rPr>
          <w:rFonts w:asciiTheme="minorHAnsi" w:eastAsiaTheme="minorHAnsi" w:hAnsiTheme="minorHAnsi" w:cstheme="minorBidi"/>
          <w:sz w:val="22"/>
          <w:szCs w:val="22"/>
          <w:lang w:eastAsia="en-US"/>
        </w:rPr>
        <w:t>11</w:t>
      </w:r>
      <w:r w:rsidR="005C097B" w:rsidRPr="00FC10F8">
        <w:rPr>
          <w:rFonts w:asciiTheme="minorHAnsi" w:eastAsiaTheme="minorHAnsi" w:hAnsiTheme="minorHAnsi" w:cstheme="minorBidi"/>
          <w:sz w:val="22"/>
          <w:szCs w:val="22"/>
          <w:lang w:eastAsia="en-US"/>
        </w:rPr>
        <w:t xml:space="preserve">  of this report.</w:t>
      </w:r>
    </w:p>
    <w:p w:rsidR="00413D3E" w:rsidRPr="00FC10F8" w:rsidRDefault="00413D3E" w:rsidP="00A26199">
      <w:pPr>
        <w:pStyle w:val="NormalWeb"/>
        <w:spacing w:before="0" w:beforeAutospacing="0" w:after="160" w:afterAutospacing="0"/>
        <w:ind w:left="720"/>
        <w:rPr>
          <w:rFonts w:asciiTheme="minorHAnsi" w:eastAsiaTheme="minorHAnsi" w:hAnsiTheme="minorHAnsi" w:cstheme="minorBidi"/>
          <w:sz w:val="22"/>
          <w:szCs w:val="22"/>
          <w:lang w:eastAsia="en-US"/>
        </w:rPr>
      </w:pPr>
      <w:r w:rsidRPr="00FC10F8">
        <w:rPr>
          <w:rFonts w:asciiTheme="minorHAnsi" w:eastAsiaTheme="minorHAnsi" w:hAnsiTheme="minorHAnsi" w:cstheme="minorBidi"/>
          <w:sz w:val="22"/>
          <w:szCs w:val="22"/>
          <w:lang w:eastAsia="en-US"/>
        </w:rPr>
        <w:t>For the MA in Psychoanalytic Psychotherapy th</w:t>
      </w:r>
      <w:r w:rsidR="005C097B" w:rsidRPr="00FC10F8">
        <w:rPr>
          <w:rFonts w:asciiTheme="minorHAnsi" w:eastAsiaTheme="minorHAnsi" w:hAnsiTheme="minorHAnsi" w:cstheme="minorBidi"/>
          <w:sz w:val="22"/>
          <w:szCs w:val="22"/>
          <w:lang w:eastAsia="en-US"/>
        </w:rPr>
        <w:t xml:space="preserve">e trend is towards higher grades in 3 of the 4 clinically-focussed modules. </w:t>
      </w:r>
      <w:r w:rsidRPr="00FC10F8">
        <w:rPr>
          <w:rFonts w:asciiTheme="minorHAnsi" w:eastAsiaTheme="minorHAnsi" w:hAnsiTheme="minorHAnsi" w:cstheme="minorBidi"/>
          <w:sz w:val="22"/>
          <w:szCs w:val="22"/>
          <w:lang w:eastAsia="en-US"/>
        </w:rPr>
        <w:t>The fourth module Psychiatric Case Conference and Seminar, while clinical, has a 30% on the summative assessment for the Seminar part of the module. The mean score for the academic modules tends to be lower than those for the clinical modules. With the proposed increase in academic material on the programme, this mean scores should increase as students have more opportunity to engage with difficult psychoanalytic concepts.</w:t>
      </w:r>
    </w:p>
    <w:p w:rsidR="005C097B" w:rsidRPr="00FC10F8" w:rsidRDefault="005C097B" w:rsidP="00A26199">
      <w:pPr>
        <w:pStyle w:val="NormalWeb"/>
        <w:numPr>
          <w:ilvl w:val="0"/>
          <w:numId w:val="46"/>
        </w:numPr>
        <w:spacing w:before="0" w:beforeAutospacing="0" w:after="160" w:afterAutospacing="0"/>
        <w:rPr>
          <w:rFonts w:asciiTheme="minorHAnsi" w:eastAsiaTheme="minorHAnsi" w:hAnsiTheme="minorHAnsi" w:cstheme="minorBidi"/>
          <w:sz w:val="22"/>
          <w:szCs w:val="22"/>
          <w:lang w:eastAsia="en-US"/>
        </w:rPr>
      </w:pPr>
      <w:r w:rsidRPr="00FC10F8">
        <w:rPr>
          <w:rFonts w:asciiTheme="minorHAnsi" w:eastAsiaTheme="minorHAnsi" w:hAnsiTheme="minorHAnsi" w:cstheme="minorBidi"/>
          <w:sz w:val="22"/>
          <w:szCs w:val="22"/>
          <w:lang w:eastAsia="en-US"/>
        </w:rPr>
        <w:t>Benchmarking Grades and QQI Award Classifications</w:t>
      </w:r>
    </w:p>
    <w:p w:rsidR="005C097B" w:rsidRPr="00FC10F8" w:rsidRDefault="005C097B" w:rsidP="00A26199">
      <w:pPr>
        <w:pStyle w:val="NormalWeb"/>
        <w:spacing w:before="0" w:beforeAutospacing="0" w:after="160" w:afterAutospacing="0"/>
        <w:ind w:left="720"/>
        <w:rPr>
          <w:rFonts w:asciiTheme="minorHAnsi" w:eastAsiaTheme="minorHAnsi" w:hAnsiTheme="minorHAnsi" w:cstheme="minorBidi"/>
          <w:sz w:val="22"/>
          <w:szCs w:val="22"/>
          <w:lang w:eastAsia="en-US"/>
        </w:rPr>
      </w:pPr>
      <w:r w:rsidRPr="00FC10F8">
        <w:rPr>
          <w:rFonts w:asciiTheme="minorHAnsi" w:eastAsiaTheme="minorHAnsi" w:hAnsiTheme="minorHAnsi" w:cstheme="minorBidi"/>
          <w:sz w:val="22"/>
          <w:szCs w:val="22"/>
          <w:lang w:eastAsia="en-US"/>
        </w:rPr>
        <w:t xml:space="preserve">The panel concluded that the analysis provided for both programmes was not comprehensive. In both cases only one unnamed comparator was cited based on information obtained from the QQI website. </w:t>
      </w:r>
      <w:r w:rsidR="00FF1E45" w:rsidRPr="00FC10F8">
        <w:rPr>
          <w:rFonts w:asciiTheme="minorHAnsi" w:eastAsiaTheme="minorHAnsi" w:hAnsiTheme="minorHAnsi" w:cstheme="minorBidi"/>
          <w:sz w:val="22"/>
          <w:szCs w:val="22"/>
          <w:lang w:eastAsia="en-US"/>
        </w:rPr>
        <w:t>The commentary</w:t>
      </w:r>
      <w:r w:rsidR="00A26199" w:rsidRPr="00FC10F8">
        <w:rPr>
          <w:rFonts w:asciiTheme="minorHAnsi" w:eastAsiaTheme="minorHAnsi" w:hAnsiTheme="minorHAnsi" w:cstheme="minorBidi"/>
          <w:sz w:val="22"/>
          <w:szCs w:val="22"/>
          <w:lang w:eastAsia="en-US"/>
        </w:rPr>
        <w:t xml:space="preserve"> for the MA in Psychoanalytic Psychotherapy consisted of a graphical interpretation and no accompanying analysis. The panel w</w:t>
      </w:r>
      <w:r w:rsidR="00D2578D" w:rsidRPr="00FC10F8">
        <w:rPr>
          <w:rFonts w:asciiTheme="minorHAnsi" w:eastAsiaTheme="minorHAnsi" w:hAnsiTheme="minorHAnsi" w:cstheme="minorBidi"/>
          <w:sz w:val="22"/>
          <w:szCs w:val="22"/>
          <w:lang w:eastAsia="en-US"/>
        </w:rPr>
        <w:t xml:space="preserve">as advised that DBS had sought </w:t>
      </w:r>
      <w:r w:rsidR="00A26199" w:rsidRPr="00FC10F8">
        <w:rPr>
          <w:rFonts w:asciiTheme="minorHAnsi" w:eastAsiaTheme="minorHAnsi" w:hAnsiTheme="minorHAnsi" w:cstheme="minorBidi"/>
          <w:sz w:val="22"/>
          <w:szCs w:val="22"/>
          <w:lang w:eastAsia="en-US"/>
        </w:rPr>
        <w:t>comparative data from a range of other appropriate sources including the HEA, the IOTs and private providers without success.</w:t>
      </w:r>
    </w:p>
    <w:p w:rsidR="00BF3BDC" w:rsidRPr="00FC10F8" w:rsidRDefault="00BF3BDC" w:rsidP="00BF3BDC"/>
    <w:p w:rsidR="008F0EA6" w:rsidRPr="000A3F70" w:rsidRDefault="008F0EA6" w:rsidP="008F0EA6">
      <w:pPr>
        <w:pStyle w:val="Heading2"/>
        <w:rPr>
          <w:color w:val="auto"/>
        </w:rPr>
      </w:pPr>
      <w:bookmarkStart w:id="13" w:name="_Toc513221584"/>
      <w:r w:rsidRPr="000A3F70">
        <w:rPr>
          <w:color w:val="auto"/>
        </w:rPr>
        <w:t>Quality of the Learning Environment</w:t>
      </w:r>
      <w:bookmarkEnd w:id="13"/>
    </w:p>
    <w:p w:rsidR="000404A0" w:rsidRDefault="00B26047" w:rsidP="008F0EA6">
      <w:r w:rsidRPr="000A3F70">
        <w:t>Commentary was provided on access to lecturers</w:t>
      </w:r>
      <w:r w:rsidRPr="00FC49AE">
        <w:t xml:space="preserve">, </w:t>
      </w:r>
      <w:r w:rsidR="00364FAA" w:rsidRPr="00FC49AE">
        <w:t>the use of Moodle as a virtual learning</w:t>
      </w:r>
      <w:r w:rsidR="00364FAA">
        <w:rPr>
          <w:color w:val="C00000"/>
        </w:rPr>
        <w:t xml:space="preserve"> </w:t>
      </w:r>
      <w:r w:rsidR="00364FAA" w:rsidRPr="00FC10F8">
        <w:t>environment,</w:t>
      </w:r>
      <w:r w:rsidRPr="00FC10F8">
        <w:t xml:space="preserve"> </w:t>
      </w:r>
      <w:r w:rsidRPr="000A3F70">
        <w:t>teaching strategy,</w:t>
      </w:r>
      <w:r w:rsidR="00BF1796" w:rsidRPr="000A3F70">
        <w:t xml:space="preserve"> access to clinical case conferen</w:t>
      </w:r>
      <w:r w:rsidR="00895736">
        <w:t>ces and clinical placements,</w:t>
      </w:r>
      <w:r w:rsidR="008534C0" w:rsidRPr="000A3F70">
        <w:t xml:space="preserve"> visits</w:t>
      </w:r>
      <w:r w:rsidR="00895736">
        <w:t xml:space="preserve"> to service providers</w:t>
      </w:r>
      <w:r w:rsidR="008534C0" w:rsidRPr="000A3F70">
        <w:t xml:space="preserve"> and</w:t>
      </w:r>
      <w:r w:rsidRPr="000A3F70">
        <w:t xml:space="preserve"> the use of guest speakers</w:t>
      </w:r>
      <w:r w:rsidR="008534C0" w:rsidRPr="000A3F70">
        <w:t>.</w:t>
      </w:r>
      <w:r w:rsidRPr="000A3F70">
        <w:t xml:space="preserve"> Programme-specific arrangements for monitoring progress and guiding, informing and caring for learners were also discussed. An outline of physical facilities and resources was also includ</w:t>
      </w:r>
      <w:r w:rsidR="002B564C" w:rsidRPr="000A3F70">
        <w:t>ed.</w:t>
      </w:r>
      <w:r w:rsidR="00364FAA">
        <w:t xml:space="preserve"> </w:t>
      </w:r>
    </w:p>
    <w:p w:rsidR="002B564C" w:rsidRPr="00FC49AE" w:rsidRDefault="000404A0" w:rsidP="008F0EA6">
      <w:r w:rsidRPr="00FC49AE">
        <w:t xml:space="preserve">The panel concluded that the learning environment was consistent with the needs of the learners. </w:t>
      </w:r>
      <w:r w:rsidR="00364FAA" w:rsidRPr="00FC49AE">
        <w:t>Further commentary is provided in Section 7.10 of this report.</w:t>
      </w:r>
    </w:p>
    <w:p w:rsidR="008F0EA6" w:rsidRPr="000A3F70" w:rsidRDefault="008F0EA6" w:rsidP="008F0EA6">
      <w:pPr>
        <w:pStyle w:val="Heading2"/>
        <w:rPr>
          <w:color w:val="auto"/>
        </w:rPr>
      </w:pPr>
      <w:bookmarkStart w:id="14" w:name="_Toc513221585"/>
      <w:r w:rsidRPr="000A3F70">
        <w:rPr>
          <w:color w:val="auto"/>
        </w:rPr>
        <w:t>Suitability of Learner Workload</w:t>
      </w:r>
      <w:bookmarkEnd w:id="14"/>
    </w:p>
    <w:p w:rsidR="008534C0" w:rsidRDefault="008534C0" w:rsidP="008534C0">
      <w:pPr>
        <w:pStyle w:val="NormalWeb"/>
        <w:spacing w:before="0" w:beforeAutospacing="0" w:after="0" w:afterAutospacing="0"/>
        <w:ind w:right="113"/>
        <w:jc w:val="both"/>
        <w:textAlignment w:val="baseline"/>
        <w:rPr>
          <w:rFonts w:asciiTheme="minorHAnsi" w:eastAsiaTheme="minorHAnsi" w:hAnsiTheme="minorHAnsi" w:cstheme="minorBidi"/>
          <w:sz w:val="22"/>
          <w:szCs w:val="22"/>
          <w:lang w:val="en-IE" w:eastAsia="en-US"/>
        </w:rPr>
      </w:pPr>
      <w:r w:rsidRPr="000A3F70">
        <w:rPr>
          <w:rFonts w:asciiTheme="minorHAnsi" w:eastAsiaTheme="minorHAnsi" w:hAnsiTheme="minorHAnsi" w:cstheme="minorBidi"/>
          <w:sz w:val="22"/>
          <w:szCs w:val="22"/>
          <w:lang w:val="en-IE" w:eastAsia="en-US"/>
        </w:rPr>
        <w:t>The suitability of the learner workload is one of the areas monitored by the Programme Team through feedback from learners, alumni, external examiners, professional bodies and through review a</w:t>
      </w:r>
      <w:r w:rsidR="00895736">
        <w:rPr>
          <w:rFonts w:asciiTheme="minorHAnsi" w:eastAsiaTheme="minorHAnsi" w:hAnsiTheme="minorHAnsi" w:cstheme="minorBidi"/>
          <w:sz w:val="22"/>
          <w:szCs w:val="22"/>
          <w:lang w:val="en-IE" w:eastAsia="en-US"/>
        </w:rPr>
        <w:t>nd discussion at team meetings.</w:t>
      </w:r>
    </w:p>
    <w:p w:rsidR="00EE6A10" w:rsidRPr="000A3F70" w:rsidRDefault="00EE6A10" w:rsidP="008534C0">
      <w:pPr>
        <w:pStyle w:val="NormalWeb"/>
        <w:spacing w:before="0" w:beforeAutospacing="0" w:after="0" w:afterAutospacing="0"/>
        <w:ind w:right="113"/>
        <w:jc w:val="both"/>
        <w:textAlignment w:val="baseline"/>
        <w:rPr>
          <w:rFonts w:asciiTheme="minorHAnsi" w:eastAsiaTheme="minorHAnsi" w:hAnsiTheme="minorHAnsi" w:cstheme="minorBidi"/>
          <w:sz w:val="22"/>
          <w:szCs w:val="22"/>
          <w:lang w:val="en-IE" w:eastAsia="en-US"/>
        </w:rPr>
      </w:pPr>
    </w:p>
    <w:p w:rsidR="008534C0" w:rsidRPr="00FC49AE" w:rsidRDefault="008534C0" w:rsidP="008534C0">
      <w:pPr>
        <w:pStyle w:val="NormalWeb"/>
        <w:spacing w:before="0" w:beforeAutospacing="0" w:after="0" w:afterAutospacing="0"/>
        <w:ind w:right="113"/>
        <w:jc w:val="both"/>
        <w:textAlignment w:val="baseline"/>
        <w:rPr>
          <w:rFonts w:asciiTheme="minorHAnsi" w:eastAsiaTheme="minorHAnsi" w:hAnsiTheme="minorHAnsi" w:cstheme="minorBidi"/>
          <w:sz w:val="22"/>
          <w:szCs w:val="22"/>
          <w:lang w:val="en-IE" w:eastAsia="en-US"/>
        </w:rPr>
      </w:pPr>
      <w:r w:rsidRPr="00FC49AE">
        <w:rPr>
          <w:rFonts w:asciiTheme="minorHAnsi" w:eastAsiaTheme="minorHAnsi" w:hAnsiTheme="minorHAnsi" w:cstheme="minorBidi"/>
          <w:sz w:val="22"/>
          <w:szCs w:val="22"/>
          <w:lang w:val="en-IE" w:eastAsia="en-US"/>
        </w:rPr>
        <w:t>The panel concluded that the workload was appropriate and noted the willingness of teaching staff to address any issues br</w:t>
      </w:r>
      <w:r w:rsidR="00364FAA" w:rsidRPr="00FC49AE">
        <w:rPr>
          <w:rFonts w:asciiTheme="minorHAnsi" w:eastAsiaTheme="minorHAnsi" w:hAnsiTheme="minorHAnsi" w:cstheme="minorBidi"/>
          <w:sz w:val="22"/>
          <w:szCs w:val="22"/>
          <w:lang w:val="en-IE" w:eastAsia="en-US"/>
        </w:rPr>
        <w:t xml:space="preserve">ought to them by the students. </w:t>
      </w:r>
    </w:p>
    <w:p w:rsidR="008F0EA6" w:rsidRPr="00364FAA" w:rsidRDefault="008F0EA6" w:rsidP="008F0EA6">
      <w:pPr>
        <w:rPr>
          <w:color w:val="C00000"/>
        </w:rPr>
      </w:pPr>
    </w:p>
    <w:p w:rsidR="008F0EA6" w:rsidRPr="000A3F70" w:rsidRDefault="008F0EA6" w:rsidP="008F0EA6">
      <w:pPr>
        <w:pStyle w:val="Heading2"/>
        <w:rPr>
          <w:color w:val="auto"/>
        </w:rPr>
      </w:pPr>
      <w:bookmarkStart w:id="15" w:name="_Toc513221586"/>
      <w:r w:rsidRPr="000A3F70">
        <w:rPr>
          <w:color w:val="auto"/>
        </w:rPr>
        <w:t>Effectiveness of Procedures for Assessment</w:t>
      </w:r>
      <w:bookmarkEnd w:id="15"/>
    </w:p>
    <w:p w:rsidR="008534C0" w:rsidRPr="00FC49AE" w:rsidRDefault="008534C0" w:rsidP="008534C0">
      <w:r w:rsidRPr="00FC49AE">
        <w:t>It was noted that all assessment for the programmes conforms to the DBS assessment regulations which are informed by QQI Assess</w:t>
      </w:r>
      <w:r w:rsidR="00ED6621" w:rsidRPr="00FC49AE">
        <w:t>ment and Standard</w:t>
      </w:r>
      <w:r w:rsidR="00364FAA" w:rsidRPr="00FC49AE">
        <w:t>s Revised 2013.</w:t>
      </w:r>
      <w:r w:rsidRPr="00FC49AE">
        <w:t xml:space="preserve"> The evaluation of assessment is based on feedback from learners, external examiners, employers, as well as feedback from reviews and validations. It is the subsequent actions taken to 'close the loop' that should have a positive impact on improving the effectiveness of assessment procedures.</w:t>
      </w:r>
    </w:p>
    <w:p w:rsidR="008F0EA6" w:rsidRPr="000A3F70" w:rsidRDefault="008534C0" w:rsidP="008F0EA6">
      <w:r w:rsidRPr="000A3F70">
        <w:t xml:space="preserve">The panel found the assessment processes relating to the programmes to be appropriate. Further commentary is provided in </w:t>
      </w:r>
      <w:r w:rsidR="00ED6621" w:rsidRPr="00895736">
        <w:t>Section 7</w:t>
      </w:r>
      <w:r w:rsidR="00275E08">
        <w:t>.</w:t>
      </w:r>
      <w:r w:rsidR="00275E08" w:rsidRPr="00FC10F8">
        <w:t>12</w:t>
      </w:r>
      <w:r w:rsidR="00895736" w:rsidRPr="00895736">
        <w:t xml:space="preserve"> </w:t>
      </w:r>
      <w:r w:rsidRPr="00895736">
        <w:t>of this report.</w:t>
      </w:r>
    </w:p>
    <w:p w:rsidR="008F0EA6" w:rsidRPr="000A3F70" w:rsidRDefault="008F0EA6" w:rsidP="008F0EA6">
      <w:pPr>
        <w:pStyle w:val="Heading2"/>
        <w:rPr>
          <w:color w:val="auto"/>
        </w:rPr>
      </w:pPr>
      <w:bookmarkStart w:id="16" w:name="_Toc513221587"/>
      <w:r w:rsidRPr="000A3F70">
        <w:rPr>
          <w:color w:val="auto"/>
        </w:rPr>
        <w:t>Quality Assurance Arrangements</w:t>
      </w:r>
      <w:bookmarkEnd w:id="16"/>
    </w:p>
    <w:p w:rsidR="00C57D89" w:rsidRPr="000A3F70" w:rsidRDefault="00C57D89" w:rsidP="00C57D89">
      <w:r w:rsidRPr="000A3F70">
        <w:t>All DBS quality assurance policies and procedures are detailed in the Quality Assurance Handbook (QAH). This is the first point of reference for all stakeholders involved in the design and monitoring of programmes. The programmes under review have been designed to comply with the DBS QAH and, in turn, with QQI’s statutory quality assurance guidelines with respect to governance, quality assurance, assessment access to transfer and progression. Programme-specific quality assurance considerations include conducting research in accordance with the DBS Ethical Guidelines for Research with Human Participants.</w:t>
      </w:r>
    </w:p>
    <w:p w:rsidR="0088109B" w:rsidRPr="00FC49AE" w:rsidRDefault="00364FAA" w:rsidP="00364FAA">
      <w:pPr>
        <w:pStyle w:val="NormalWeb"/>
        <w:shd w:val="clear" w:color="auto" w:fill="FFFFFF"/>
        <w:spacing w:before="0" w:beforeAutospacing="0" w:after="0" w:afterAutospacing="0"/>
        <w:rPr>
          <w:rFonts w:asciiTheme="minorHAnsi" w:eastAsiaTheme="minorHAnsi" w:hAnsiTheme="minorHAnsi" w:cstheme="minorBidi"/>
          <w:sz w:val="22"/>
          <w:szCs w:val="22"/>
          <w:lang w:val="en-IE" w:eastAsia="en-US"/>
        </w:rPr>
      </w:pPr>
      <w:r>
        <w:rPr>
          <w:rFonts w:asciiTheme="minorHAnsi" w:eastAsiaTheme="minorHAnsi" w:hAnsiTheme="minorHAnsi" w:cstheme="minorBidi"/>
          <w:sz w:val="22"/>
          <w:szCs w:val="22"/>
          <w:lang w:val="en-IE" w:eastAsia="en-US"/>
        </w:rPr>
        <w:t xml:space="preserve">There are additional </w:t>
      </w:r>
      <w:r w:rsidRPr="00FC49AE">
        <w:rPr>
          <w:rFonts w:asciiTheme="minorHAnsi" w:eastAsiaTheme="minorHAnsi" w:hAnsiTheme="minorHAnsi" w:cstheme="minorBidi"/>
          <w:sz w:val="22"/>
          <w:szCs w:val="22"/>
          <w:lang w:val="en-IE" w:eastAsia="en-US"/>
        </w:rPr>
        <w:t>quality assurance</w:t>
      </w:r>
      <w:r w:rsidR="0088109B" w:rsidRPr="000A3F70">
        <w:rPr>
          <w:rFonts w:asciiTheme="minorHAnsi" w:eastAsiaTheme="minorHAnsi" w:hAnsiTheme="minorHAnsi" w:cstheme="minorBidi"/>
          <w:sz w:val="22"/>
          <w:szCs w:val="22"/>
          <w:lang w:val="en-IE" w:eastAsia="en-US"/>
        </w:rPr>
        <w:t xml:space="preserve"> requirements for the MA in Psychoanalytic Psychothera</w:t>
      </w:r>
      <w:r w:rsidR="00895736">
        <w:rPr>
          <w:rFonts w:asciiTheme="minorHAnsi" w:eastAsiaTheme="minorHAnsi" w:hAnsiTheme="minorHAnsi" w:cstheme="minorBidi"/>
          <w:sz w:val="22"/>
          <w:szCs w:val="22"/>
          <w:lang w:val="en-IE" w:eastAsia="en-US"/>
        </w:rPr>
        <w:t>py. These include a requirement</w:t>
      </w:r>
      <w:r w:rsidR="0088109B" w:rsidRPr="000A3F70">
        <w:rPr>
          <w:rFonts w:asciiTheme="minorHAnsi" w:eastAsiaTheme="minorHAnsi" w:hAnsiTheme="minorHAnsi" w:cstheme="minorBidi"/>
          <w:sz w:val="22"/>
          <w:szCs w:val="22"/>
          <w:lang w:val="en-IE" w:eastAsia="en-US"/>
        </w:rPr>
        <w:t xml:space="preserve"> for learners to pass each component of assessment in clinical modules</w:t>
      </w:r>
      <w:r w:rsidR="008534C0" w:rsidRPr="000A3F70">
        <w:rPr>
          <w:rFonts w:asciiTheme="minorHAnsi" w:eastAsiaTheme="minorHAnsi" w:hAnsiTheme="minorHAnsi" w:cstheme="minorBidi"/>
          <w:sz w:val="22"/>
          <w:szCs w:val="22"/>
          <w:lang w:val="en-IE" w:eastAsia="en-US"/>
        </w:rPr>
        <w:t>.</w:t>
      </w:r>
      <w:r w:rsidR="0088109B" w:rsidRPr="000A3F70">
        <w:rPr>
          <w:rFonts w:asciiTheme="minorHAnsi" w:eastAsiaTheme="minorHAnsi" w:hAnsiTheme="minorHAnsi" w:cstheme="minorBidi"/>
          <w:sz w:val="22"/>
          <w:szCs w:val="22"/>
          <w:lang w:val="en-IE" w:eastAsia="en-US"/>
        </w:rPr>
        <w:t xml:space="preserve"> Students must engage in placement supervision as well as verify that they have been in their own psychoanalysis for the duration of th</w:t>
      </w:r>
      <w:r w:rsidR="008534C0" w:rsidRPr="000A3F70">
        <w:rPr>
          <w:rFonts w:asciiTheme="minorHAnsi" w:eastAsiaTheme="minorHAnsi" w:hAnsiTheme="minorHAnsi" w:cstheme="minorBidi"/>
          <w:sz w:val="22"/>
          <w:szCs w:val="22"/>
          <w:lang w:val="en-IE" w:eastAsia="en-US"/>
        </w:rPr>
        <w:t>e programme. When it becomes in</w:t>
      </w:r>
      <w:r w:rsidR="0088109B" w:rsidRPr="000A3F70">
        <w:rPr>
          <w:rFonts w:asciiTheme="minorHAnsi" w:eastAsiaTheme="minorHAnsi" w:hAnsiTheme="minorHAnsi" w:cstheme="minorBidi"/>
          <w:sz w:val="22"/>
          <w:szCs w:val="22"/>
          <w:lang w:val="en-IE" w:eastAsia="en-US"/>
        </w:rPr>
        <w:t>appropriate for a student to continue in</w:t>
      </w:r>
      <w:r w:rsidR="008534C0" w:rsidRPr="000A3F70">
        <w:rPr>
          <w:rFonts w:asciiTheme="minorHAnsi" w:eastAsiaTheme="minorHAnsi" w:hAnsiTheme="minorHAnsi" w:cstheme="minorBidi"/>
          <w:sz w:val="22"/>
          <w:szCs w:val="22"/>
          <w:lang w:val="en-IE" w:eastAsia="en-US"/>
        </w:rPr>
        <w:t xml:space="preserve"> a placement a </w:t>
      </w:r>
      <w:r w:rsidR="0088109B" w:rsidRPr="000A3F70">
        <w:rPr>
          <w:rFonts w:asciiTheme="minorHAnsi" w:eastAsiaTheme="minorHAnsi" w:hAnsiTheme="minorHAnsi" w:cstheme="minorBidi"/>
          <w:sz w:val="22"/>
          <w:szCs w:val="22"/>
          <w:lang w:val="en-IE" w:eastAsia="en-US"/>
        </w:rPr>
        <w:t>Clinical Suitability Panel reviews the case before any</w:t>
      </w:r>
      <w:r w:rsidR="008534C0" w:rsidRPr="000A3F70">
        <w:rPr>
          <w:rFonts w:asciiTheme="minorHAnsi" w:eastAsiaTheme="minorHAnsi" w:hAnsiTheme="minorHAnsi" w:cstheme="minorBidi"/>
          <w:sz w:val="22"/>
          <w:szCs w:val="22"/>
          <w:lang w:val="en-IE" w:eastAsia="en-US"/>
        </w:rPr>
        <w:t xml:space="preserve"> further placements are offered.</w:t>
      </w:r>
      <w:r>
        <w:rPr>
          <w:rFonts w:asciiTheme="minorHAnsi" w:eastAsiaTheme="minorHAnsi" w:hAnsiTheme="minorHAnsi" w:cstheme="minorBidi"/>
          <w:sz w:val="22"/>
          <w:szCs w:val="22"/>
          <w:lang w:val="en-IE" w:eastAsia="en-US"/>
        </w:rPr>
        <w:t xml:space="preserve"> </w:t>
      </w:r>
      <w:r w:rsidR="0088109B" w:rsidRPr="00FC49AE">
        <w:rPr>
          <w:rFonts w:asciiTheme="minorHAnsi" w:eastAsiaTheme="minorHAnsi" w:hAnsiTheme="minorHAnsi" w:cstheme="minorBidi"/>
          <w:sz w:val="22"/>
          <w:szCs w:val="22"/>
          <w:lang w:val="en-IE" w:eastAsia="en-US"/>
        </w:rPr>
        <w:t>As all learners on the programme engage in Infant Observation</w:t>
      </w:r>
      <w:r w:rsidR="00895736" w:rsidRPr="00FC49AE">
        <w:rPr>
          <w:rFonts w:asciiTheme="minorHAnsi" w:eastAsiaTheme="minorHAnsi" w:hAnsiTheme="minorHAnsi" w:cstheme="minorBidi"/>
          <w:sz w:val="22"/>
          <w:szCs w:val="22"/>
          <w:lang w:val="en-IE" w:eastAsia="en-US"/>
        </w:rPr>
        <w:t>,</w:t>
      </w:r>
      <w:r w:rsidR="0088109B" w:rsidRPr="00FC49AE">
        <w:rPr>
          <w:rFonts w:asciiTheme="minorHAnsi" w:eastAsiaTheme="minorHAnsi" w:hAnsiTheme="minorHAnsi" w:cstheme="minorBidi"/>
          <w:sz w:val="22"/>
          <w:szCs w:val="22"/>
          <w:lang w:val="en-IE" w:eastAsia="en-US"/>
        </w:rPr>
        <w:t xml:space="preserve"> which entails regular visits to a mother and infant</w:t>
      </w:r>
      <w:r w:rsidR="00895736" w:rsidRPr="00FC49AE">
        <w:rPr>
          <w:rFonts w:asciiTheme="minorHAnsi" w:eastAsiaTheme="minorHAnsi" w:hAnsiTheme="minorHAnsi" w:cstheme="minorBidi"/>
          <w:sz w:val="22"/>
          <w:szCs w:val="22"/>
          <w:lang w:val="en-IE" w:eastAsia="en-US"/>
        </w:rPr>
        <w:t xml:space="preserve"> in their own home</w:t>
      </w:r>
      <w:r w:rsidR="0088109B" w:rsidRPr="00FC49AE">
        <w:rPr>
          <w:rFonts w:asciiTheme="minorHAnsi" w:eastAsiaTheme="minorHAnsi" w:hAnsiTheme="minorHAnsi" w:cstheme="minorBidi"/>
          <w:sz w:val="22"/>
          <w:szCs w:val="22"/>
          <w:lang w:val="en-IE" w:eastAsia="en-US"/>
        </w:rPr>
        <w:t>, DBS is in the process of putting in place the structures which are required to allow for Garda Vetting of learners.</w:t>
      </w:r>
    </w:p>
    <w:p w:rsidR="000A3F70" w:rsidRPr="00FC49AE" w:rsidRDefault="00FC49AE" w:rsidP="00FC49AE">
      <w:pPr>
        <w:pStyle w:val="NormalWeb"/>
        <w:tabs>
          <w:tab w:val="left" w:pos="5747"/>
        </w:tabs>
        <w:spacing w:before="0" w:beforeAutospacing="0" w:after="0" w:afterAutospacing="0"/>
        <w:textAlignment w:val="baseline"/>
        <w:rPr>
          <w:rFonts w:asciiTheme="minorHAnsi" w:eastAsiaTheme="minorHAnsi" w:hAnsiTheme="minorHAnsi" w:cstheme="minorBidi"/>
          <w:sz w:val="22"/>
          <w:szCs w:val="22"/>
          <w:lang w:val="en-IE" w:eastAsia="en-US"/>
        </w:rPr>
      </w:pPr>
      <w:r w:rsidRPr="00FC49AE">
        <w:rPr>
          <w:rFonts w:asciiTheme="minorHAnsi" w:eastAsiaTheme="minorHAnsi" w:hAnsiTheme="minorHAnsi" w:cstheme="minorBidi"/>
          <w:sz w:val="22"/>
          <w:szCs w:val="22"/>
          <w:lang w:val="en-IE" w:eastAsia="en-US"/>
        </w:rPr>
        <w:tab/>
      </w:r>
    </w:p>
    <w:p w:rsidR="000A3F70" w:rsidRPr="00FC49AE" w:rsidRDefault="0045507C" w:rsidP="0088109B">
      <w:pPr>
        <w:pStyle w:val="NormalWeb"/>
        <w:spacing w:before="0" w:beforeAutospacing="0" w:after="0" w:afterAutospacing="0"/>
        <w:textAlignment w:val="baseline"/>
        <w:rPr>
          <w:rFonts w:asciiTheme="minorHAnsi" w:eastAsiaTheme="minorHAnsi" w:hAnsiTheme="minorHAnsi" w:cstheme="minorBidi"/>
          <w:sz w:val="22"/>
          <w:szCs w:val="22"/>
          <w:lang w:val="en-IE" w:eastAsia="en-US"/>
        </w:rPr>
      </w:pPr>
      <w:r w:rsidRPr="00FC49AE">
        <w:rPr>
          <w:rFonts w:asciiTheme="minorHAnsi" w:eastAsiaTheme="minorHAnsi" w:hAnsiTheme="minorHAnsi" w:cstheme="minorBidi"/>
          <w:sz w:val="22"/>
          <w:szCs w:val="22"/>
          <w:lang w:val="en-IE" w:eastAsia="en-US"/>
        </w:rPr>
        <w:t>The panel concluded that the quality assurance arrangements applied to the programmes were generally effective.</w:t>
      </w:r>
    </w:p>
    <w:p w:rsidR="008F0EA6" w:rsidRPr="00FC49AE" w:rsidRDefault="008F0EA6" w:rsidP="008F0EA6"/>
    <w:p w:rsidR="006D0562" w:rsidRPr="00FC49AE" w:rsidRDefault="008F0EA6" w:rsidP="006D0562">
      <w:pPr>
        <w:pStyle w:val="Heading2"/>
        <w:rPr>
          <w:color w:val="auto"/>
        </w:rPr>
      </w:pPr>
      <w:bookmarkStart w:id="17" w:name="_Toc513221588"/>
      <w:r w:rsidRPr="000A3F70">
        <w:rPr>
          <w:color w:val="auto"/>
        </w:rPr>
        <w:t>Proposed Modifications</w:t>
      </w:r>
      <w:bookmarkEnd w:id="17"/>
    </w:p>
    <w:p w:rsidR="0045507C" w:rsidRPr="00FC49AE" w:rsidRDefault="0045507C" w:rsidP="0045507C">
      <w:r w:rsidRPr="00FC49AE">
        <w:t>An overview of the proposed modifications to the programmes is set out below. Detailed action plans have been prepared to implement the revised programmes from September 2018.</w:t>
      </w:r>
    </w:p>
    <w:p w:rsidR="00C90305" w:rsidRPr="00FC49AE" w:rsidRDefault="00C90305" w:rsidP="0045507C">
      <w:r w:rsidRPr="00FC49AE">
        <w:t>MA in Addiction Studies:</w:t>
      </w:r>
    </w:p>
    <w:p w:rsidR="00C90305" w:rsidRPr="00FC49AE" w:rsidRDefault="00C90305" w:rsidP="00C90305">
      <w:pPr>
        <w:pStyle w:val="ListParagraph"/>
        <w:numPr>
          <w:ilvl w:val="0"/>
          <w:numId w:val="40"/>
        </w:numPr>
        <w:jc w:val="both"/>
      </w:pPr>
      <w:r w:rsidRPr="00FC49AE">
        <w:t>With the introduction of a new theoretical taught module in the area of addiction studies and the rebalancing of the other subject areas, there will be some re-distribution of the content in the current modules;</w:t>
      </w:r>
    </w:p>
    <w:p w:rsidR="00C90305" w:rsidRPr="00FC49AE" w:rsidRDefault="00C90305" w:rsidP="00C90305">
      <w:pPr>
        <w:pStyle w:val="ListParagraph"/>
        <w:numPr>
          <w:ilvl w:val="0"/>
          <w:numId w:val="40"/>
        </w:numPr>
        <w:jc w:val="both"/>
      </w:pPr>
      <w:r w:rsidRPr="00FC49AE">
        <w:t>It is proposed to re-distribute and re-organise some of the content of current modules as part of the wider plan to introduce a new theoretical module:- Dialogical Meaning in Addiction: Theory, Practice and Policy;</w:t>
      </w:r>
    </w:p>
    <w:p w:rsidR="00C90305" w:rsidRPr="00FC49AE" w:rsidRDefault="00C90305" w:rsidP="00C90305">
      <w:pPr>
        <w:pStyle w:val="ListParagraph"/>
        <w:numPr>
          <w:ilvl w:val="0"/>
          <w:numId w:val="40"/>
        </w:numPr>
        <w:jc w:val="both"/>
      </w:pPr>
      <w:r w:rsidRPr="00FC49AE">
        <w:t>The re-distribution of content and organisation across some modules will necessitate the re-naming of those modules;</w:t>
      </w:r>
    </w:p>
    <w:p w:rsidR="00C90305" w:rsidRPr="00FC49AE" w:rsidRDefault="00C90305" w:rsidP="00C90305">
      <w:pPr>
        <w:pStyle w:val="ListParagraph"/>
        <w:numPr>
          <w:ilvl w:val="0"/>
          <w:numId w:val="40"/>
        </w:numPr>
        <w:jc w:val="both"/>
      </w:pPr>
      <w:r w:rsidRPr="00FC49AE">
        <w:t>It is proposed to re-name some modules to reflect the revised reorganisation of content;</w:t>
      </w:r>
    </w:p>
    <w:p w:rsidR="00C90305" w:rsidRPr="00FC49AE" w:rsidRDefault="00C90305" w:rsidP="00C90305">
      <w:pPr>
        <w:pStyle w:val="ListParagraph"/>
        <w:numPr>
          <w:ilvl w:val="0"/>
          <w:numId w:val="40"/>
        </w:numPr>
        <w:jc w:val="both"/>
      </w:pPr>
      <w:r w:rsidRPr="00FC49AE">
        <w:t>All modules will be updated as appropriate in relation to content, syllabus, reading lists, etc;</w:t>
      </w:r>
    </w:p>
    <w:p w:rsidR="00C90305" w:rsidRPr="00FC49AE" w:rsidRDefault="00C90305" w:rsidP="00C90305">
      <w:pPr>
        <w:pStyle w:val="ListParagraph"/>
        <w:numPr>
          <w:ilvl w:val="0"/>
          <w:numId w:val="40"/>
        </w:numPr>
        <w:jc w:val="both"/>
      </w:pPr>
      <w:r w:rsidRPr="00FC49AE">
        <w:t>Inclusion of a PG Dip as an exit award at 60ECTs.</w:t>
      </w:r>
    </w:p>
    <w:p w:rsidR="00C90305" w:rsidRPr="00FC49AE" w:rsidRDefault="00C90305" w:rsidP="00C90305">
      <w:pPr>
        <w:jc w:val="both"/>
      </w:pPr>
    </w:p>
    <w:p w:rsidR="00C90305" w:rsidRPr="00FC49AE" w:rsidRDefault="00C90305" w:rsidP="00C90305">
      <w:pPr>
        <w:jc w:val="both"/>
      </w:pPr>
      <w:r w:rsidRPr="00FC49AE">
        <w:t>MA in Psychoanalytic Psychotherapy:</w:t>
      </w:r>
    </w:p>
    <w:p w:rsidR="00C90305" w:rsidRPr="00FC49AE" w:rsidRDefault="00C90305" w:rsidP="00C90305">
      <w:pPr>
        <w:pStyle w:val="ListParagraph"/>
        <w:numPr>
          <w:ilvl w:val="0"/>
          <w:numId w:val="41"/>
        </w:numPr>
        <w:rPr>
          <w:rFonts w:cs="Calibri"/>
        </w:rPr>
      </w:pPr>
      <w:r w:rsidRPr="00FC49AE">
        <w:rPr>
          <w:rFonts w:cs="Calibri"/>
        </w:rPr>
        <w:t>While continuing to provide extensive placement experience in psychiatric, educational and social care settings and the corresponding supervision supports, it is proposed to rebalance the modules across the programme to increase the theoretical content of the programme;</w:t>
      </w:r>
    </w:p>
    <w:p w:rsidR="00C90305" w:rsidRPr="00FC49AE" w:rsidRDefault="00C90305" w:rsidP="00C90305">
      <w:pPr>
        <w:pStyle w:val="ListParagraph"/>
        <w:numPr>
          <w:ilvl w:val="0"/>
          <w:numId w:val="41"/>
        </w:numPr>
        <w:rPr>
          <w:rFonts w:cs="Calibri"/>
        </w:rPr>
      </w:pPr>
      <w:r w:rsidRPr="00FC49AE">
        <w:rPr>
          <w:rFonts w:cs="Calibri"/>
        </w:rPr>
        <w:t>It is proposed to increase the number of taught modules on the theory of psychoanalysis;</w:t>
      </w:r>
    </w:p>
    <w:p w:rsidR="00C90305" w:rsidRPr="00FC49AE" w:rsidRDefault="00C90305" w:rsidP="00C90305">
      <w:pPr>
        <w:pStyle w:val="ListParagraph"/>
        <w:numPr>
          <w:ilvl w:val="0"/>
          <w:numId w:val="41"/>
        </w:numPr>
        <w:rPr>
          <w:rFonts w:cs="Calibri"/>
        </w:rPr>
      </w:pPr>
      <w:r w:rsidRPr="00FC49AE">
        <w:rPr>
          <w:rFonts w:cs="Calibri"/>
        </w:rPr>
        <w:t>With this introduction of new theoretical taught modules, there will be some re-distribution of the content in the current modules;</w:t>
      </w:r>
    </w:p>
    <w:p w:rsidR="00C90305" w:rsidRPr="00FC49AE" w:rsidRDefault="00C90305" w:rsidP="00C90305">
      <w:pPr>
        <w:pStyle w:val="ListParagraph"/>
        <w:numPr>
          <w:ilvl w:val="0"/>
          <w:numId w:val="41"/>
        </w:numPr>
        <w:rPr>
          <w:rFonts w:cs="Calibri"/>
        </w:rPr>
      </w:pPr>
      <w:r w:rsidRPr="00FC49AE">
        <w:rPr>
          <w:rFonts w:cs="Calibri"/>
        </w:rPr>
        <w:t>It is proposed to re-distribute and re-organise some of the content of current modules as part of the wider plan to introduce new theoretical module;</w:t>
      </w:r>
    </w:p>
    <w:p w:rsidR="00C90305" w:rsidRPr="00FC49AE" w:rsidRDefault="00C90305" w:rsidP="00C90305">
      <w:pPr>
        <w:pStyle w:val="ListParagraph"/>
        <w:numPr>
          <w:ilvl w:val="0"/>
          <w:numId w:val="41"/>
        </w:numPr>
        <w:rPr>
          <w:rFonts w:cs="Calibri"/>
        </w:rPr>
      </w:pPr>
      <w:r w:rsidRPr="00FC49AE">
        <w:rPr>
          <w:rFonts w:cs="Calibri"/>
        </w:rPr>
        <w:t>The re-distribution of content across modules will necessitate the re-naming of some modules;</w:t>
      </w:r>
    </w:p>
    <w:p w:rsidR="00C90305" w:rsidRPr="00FC49AE" w:rsidRDefault="00C90305" w:rsidP="00C90305">
      <w:pPr>
        <w:pStyle w:val="ListParagraph"/>
        <w:numPr>
          <w:ilvl w:val="0"/>
          <w:numId w:val="41"/>
        </w:numPr>
        <w:rPr>
          <w:rFonts w:cs="Calibri"/>
        </w:rPr>
      </w:pPr>
      <w:r w:rsidRPr="00FC49AE">
        <w:rPr>
          <w:rFonts w:cs="Calibri"/>
        </w:rPr>
        <w:t>It is proposed to re-name some modules to reflect the revised reorganisation of content;</w:t>
      </w:r>
    </w:p>
    <w:p w:rsidR="00C90305" w:rsidRPr="00FC49AE" w:rsidRDefault="00C90305" w:rsidP="00C90305">
      <w:pPr>
        <w:pStyle w:val="ListParagraph"/>
        <w:numPr>
          <w:ilvl w:val="0"/>
          <w:numId w:val="41"/>
        </w:numPr>
        <w:rPr>
          <w:rFonts w:cs="Calibri"/>
        </w:rPr>
      </w:pPr>
      <w:r w:rsidRPr="00FC49AE">
        <w:rPr>
          <w:rFonts w:cs="Calibri"/>
        </w:rPr>
        <w:t>With this increase in psychoanalytic theory on the programme it will not be necessary to require entrants to have previously studied psychoanalysis;</w:t>
      </w:r>
    </w:p>
    <w:p w:rsidR="00C90305" w:rsidRPr="00FC49AE" w:rsidRDefault="00C90305" w:rsidP="00C90305">
      <w:pPr>
        <w:pStyle w:val="ListParagraph"/>
        <w:numPr>
          <w:ilvl w:val="0"/>
          <w:numId w:val="41"/>
        </w:numPr>
        <w:rPr>
          <w:rFonts w:cs="Calibri"/>
        </w:rPr>
      </w:pPr>
      <w:r w:rsidRPr="00FC49AE">
        <w:rPr>
          <w:rFonts w:cs="Calibri"/>
        </w:rPr>
        <w:t>It is proposed to no longer require entrants to have a background of formal study in psychoanalysis.</w:t>
      </w:r>
    </w:p>
    <w:p w:rsidR="00C90305" w:rsidRDefault="00C90305" w:rsidP="00C90305">
      <w:pPr>
        <w:rPr>
          <w:rFonts w:cs="Calibri"/>
        </w:rPr>
      </w:pPr>
      <w:r w:rsidRPr="00FC49AE">
        <w:rPr>
          <w:rFonts w:cs="Calibri"/>
        </w:rPr>
        <w:t>The panel concluded that the proposed modifications to the programmes were appropriate. The proposed programme and stage schedules are set out in Part 3, Section 10 of this report.</w:t>
      </w:r>
    </w:p>
    <w:p w:rsidR="0045507C" w:rsidRPr="0045507C" w:rsidRDefault="0045507C" w:rsidP="0045507C">
      <w:pPr>
        <w:rPr>
          <w:color w:val="C00000"/>
        </w:rPr>
      </w:pPr>
    </w:p>
    <w:p w:rsidR="008F0EA6" w:rsidRPr="00BF0960" w:rsidRDefault="008F0EA6" w:rsidP="00BF0960">
      <w:pPr>
        <w:pStyle w:val="Heading1"/>
        <w:rPr>
          <w:rFonts w:asciiTheme="majorHAnsi" w:hAnsiTheme="majorHAnsi"/>
          <w:sz w:val="26"/>
          <w:szCs w:val="26"/>
        </w:rPr>
      </w:pPr>
      <w:bookmarkStart w:id="18" w:name="_Toc513221589"/>
      <w:r w:rsidRPr="000A3F70">
        <w:t>Evaluation of the Modified Programme</w:t>
      </w:r>
      <w:bookmarkEnd w:id="18"/>
    </w:p>
    <w:p w:rsidR="008F0EA6" w:rsidRPr="000A3F70" w:rsidRDefault="008F0EA6" w:rsidP="008F0EA6">
      <w:pPr>
        <w:pStyle w:val="Heading2"/>
        <w:rPr>
          <w:color w:val="auto"/>
        </w:rPr>
      </w:pPr>
      <w:bookmarkStart w:id="19" w:name="_Toc513221590"/>
      <w:r w:rsidRPr="000A3F70">
        <w:rPr>
          <w:color w:val="auto"/>
        </w:rPr>
        <w:t>Report</w:t>
      </w:r>
      <w:bookmarkEnd w:id="19"/>
    </w:p>
    <w:p w:rsidR="008F0EA6" w:rsidRPr="000A3F70" w:rsidRDefault="008F0EA6" w:rsidP="008F0EA6">
      <w:r w:rsidRPr="000A3F70">
        <w:t>See Appendix 1</w:t>
      </w:r>
    </w:p>
    <w:p w:rsidR="008F0EA6" w:rsidRPr="000A3F70" w:rsidRDefault="008F0EA6" w:rsidP="008F0EA6">
      <w:pPr>
        <w:pStyle w:val="Heading1"/>
      </w:pPr>
      <w:bookmarkStart w:id="20" w:name="_Toc513221591"/>
      <w:r w:rsidRPr="000A3F70">
        <w:t>Outcome of the Review</w:t>
      </w:r>
      <w:bookmarkEnd w:id="20"/>
    </w:p>
    <w:p w:rsidR="008F0EA6" w:rsidRPr="000A3F70" w:rsidRDefault="008F0EA6" w:rsidP="008F0EA6">
      <w:pPr>
        <w:pStyle w:val="Heading2"/>
        <w:rPr>
          <w:color w:val="auto"/>
        </w:rPr>
      </w:pPr>
      <w:bookmarkStart w:id="21" w:name="_Toc513221592"/>
      <w:r w:rsidRPr="000A3F70">
        <w:rPr>
          <w:color w:val="auto"/>
        </w:rPr>
        <w:t>Summary</w:t>
      </w:r>
      <w:bookmarkEnd w:id="21"/>
    </w:p>
    <w:p w:rsidR="008F0EA6" w:rsidRPr="006D0562" w:rsidRDefault="00160319" w:rsidP="008F0EA6">
      <w:pPr>
        <w:rPr>
          <w:color w:val="FF0000"/>
        </w:rPr>
      </w:pPr>
      <w:r w:rsidRPr="00FC49AE">
        <w:t>As a result of th</w:t>
      </w:r>
      <w:r w:rsidR="006D0562" w:rsidRPr="00FC49AE">
        <w:t>e programmatic review process, three recommendations and one</w:t>
      </w:r>
      <w:r w:rsidRPr="00FC49AE">
        <w:t xml:space="preserve"> commend</w:t>
      </w:r>
      <w:r w:rsidR="006D0562" w:rsidRPr="00FC49AE">
        <w:t xml:space="preserve">ation were made. The </w:t>
      </w:r>
      <w:r w:rsidRPr="00FC49AE">
        <w:t>r</w:t>
      </w:r>
      <w:r w:rsidR="006D0562" w:rsidRPr="00FC49AE">
        <w:t>ecommendations and commendation</w:t>
      </w:r>
      <w:r w:rsidRPr="00FC49AE">
        <w:t xml:space="preserve"> are listed in Section 7 Appendix 1, Part 2 of this report</w:t>
      </w:r>
      <w:r w:rsidR="00022B38">
        <w:rPr>
          <w:color w:val="FF0000"/>
        </w:rPr>
        <w:t>.</w:t>
      </w:r>
    </w:p>
    <w:p w:rsidR="008F0EA6" w:rsidRPr="000A3F70" w:rsidRDefault="008F0EA6" w:rsidP="008F0EA6">
      <w:pPr>
        <w:pStyle w:val="Heading2"/>
        <w:rPr>
          <w:color w:val="auto"/>
        </w:rPr>
      </w:pPr>
      <w:bookmarkStart w:id="22" w:name="_Toc513221593"/>
      <w:r w:rsidRPr="000A3F70">
        <w:rPr>
          <w:color w:val="auto"/>
        </w:rPr>
        <w:t>Recommendations</w:t>
      </w:r>
      <w:bookmarkEnd w:id="2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969"/>
        <w:gridCol w:w="5670"/>
      </w:tblGrid>
      <w:tr w:rsidR="00160319" w:rsidRPr="000A3F70" w:rsidTr="001A1416">
        <w:tc>
          <w:tcPr>
            <w:tcW w:w="1433" w:type="dxa"/>
            <w:shd w:val="clear" w:color="auto" w:fill="DEEAF6" w:themeFill="accent1" w:themeFillTint="33"/>
          </w:tcPr>
          <w:p w:rsidR="00160319" w:rsidRPr="000A3F70" w:rsidRDefault="00160319"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Principal programme </w:t>
            </w:r>
          </w:p>
        </w:tc>
        <w:tc>
          <w:tcPr>
            <w:tcW w:w="1969" w:type="dxa"/>
            <w:shd w:val="clear" w:color="auto" w:fill="DEEAF6" w:themeFill="accent1" w:themeFillTint="33"/>
          </w:tcPr>
          <w:p w:rsidR="00160319" w:rsidRPr="000A3F70" w:rsidRDefault="00160319" w:rsidP="001A1416">
            <w:pPr>
              <w:spacing w:after="0" w:line="240" w:lineRule="auto"/>
              <w:rPr>
                <w:rFonts w:ascii="Calibri" w:eastAsia="Times New Roman" w:hAnsi="Calibri" w:cs="Arial"/>
              </w:rPr>
            </w:pPr>
            <w:r w:rsidRPr="000A3F70">
              <w:rPr>
                <w:rFonts w:ascii="Calibri" w:eastAsia="Times New Roman" w:hAnsi="Calibri" w:cs="Times New Roman"/>
                <w:b/>
                <w:szCs w:val="24"/>
                <w:lang w:val="en-GB"/>
              </w:rPr>
              <w:t>Title</w:t>
            </w:r>
          </w:p>
        </w:tc>
        <w:tc>
          <w:tcPr>
            <w:tcW w:w="5670" w:type="dxa"/>
            <w:shd w:val="clear" w:color="auto" w:fill="auto"/>
          </w:tcPr>
          <w:p w:rsidR="00160319" w:rsidRPr="000A3F70" w:rsidRDefault="00BF0960" w:rsidP="001A1416">
            <w:pPr>
              <w:spacing w:after="0" w:line="240" w:lineRule="auto"/>
              <w:rPr>
                <w:rFonts w:ascii="Calibri" w:eastAsia="Times New Roman" w:hAnsi="Calibri" w:cs="Arial"/>
              </w:rPr>
            </w:pPr>
            <w:r>
              <w:rPr>
                <w:rFonts w:ascii="Calibri" w:eastAsia="Times New Roman" w:hAnsi="Calibri" w:cs="Arial"/>
              </w:rPr>
              <w:t>MA in Addiction Studies</w:t>
            </w:r>
          </w:p>
        </w:tc>
      </w:tr>
      <w:tr w:rsidR="00160319" w:rsidRPr="000A3F70" w:rsidTr="001A1416">
        <w:tc>
          <w:tcPr>
            <w:tcW w:w="1433" w:type="dxa"/>
            <w:shd w:val="clear" w:color="auto" w:fill="DEEAF6" w:themeFill="accent1" w:themeFillTint="33"/>
          </w:tcPr>
          <w:p w:rsidR="00160319" w:rsidRPr="000A3F70" w:rsidRDefault="00160319" w:rsidP="001A1416">
            <w:pPr>
              <w:spacing w:after="0" w:line="240" w:lineRule="auto"/>
              <w:rPr>
                <w:rFonts w:ascii="Calibri" w:eastAsia="Times New Roman" w:hAnsi="Calibri" w:cs="Times New Roman"/>
                <w:b/>
                <w:szCs w:val="24"/>
                <w:lang w:val="en-GB"/>
              </w:rPr>
            </w:pPr>
          </w:p>
        </w:tc>
        <w:tc>
          <w:tcPr>
            <w:tcW w:w="1969" w:type="dxa"/>
            <w:shd w:val="clear" w:color="auto" w:fill="DEEAF6" w:themeFill="accent1" w:themeFillTint="33"/>
          </w:tcPr>
          <w:p w:rsidR="00160319" w:rsidRPr="000A3F70" w:rsidRDefault="00160319" w:rsidP="001A1416">
            <w:pPr>
              <w:spacing w:after="0" w:line="240" w:lineRule="auto"/>
              <w:rPr>
                <w:rFonts w:ascii="Calibri" w:eastAsia="Times New Roman" w:hAnsi="Calibri" w:cs="Arial"/>
              </w:rPr>
            </w:pPr>
            <w:r w:rsidRPr="000A3F70">
              <w:rPr>
                <w:rFonts w:ascii="Calibri" w:eastAsia="Times New Roman" w:hAnsi="Calibri" w:cs="Times New Roman"/>
                <w:b/>
                <w:szCs w:val="24"/>
                <w:lang w:val="en-GB"/>
              </w:rPr>
              <w:t>Award</w:t>
            </w:r>
          </w:p>
        </w:tc>
        <w:tc>
          <w:tcPr>
            <w:tcW w:w="5670" w:type="dxa"/>
            <w:shd w:val="clear" w:color="auto" w:fill="auto"/>
          </w:tcPr>
          <w:p w:rsidR="00160319" w:rsidRPr="000A3F70" w:rsidRDefault="00BF0960" w:rsidP="001A1416">
            <w:pPr>
              <w:spacing w:after="0" w:line="240" w:lineRule="auto"/>
              <w:rPr>
                <w:rFonts w:ascii="Calibri" w:eastAsia="Times New Roman" w:hAnsi="Calibri" w:cs="Arial"/>
              </w:rPr>
            </w:pPr>
            <w:r>
              <w:rPr>
                <w:rFonts w:ascii="Calibri" w:eastAsia="Times New Roman" w:hAnsi="Calibri" w:cs="Arial"/>
              </w:rPr>
              <w:t>MA in Arts</w:t>
            </w:r>
          </w:p>
        </w:tc>
      </w:tr>
      <w:tr w:rsidR="00160319" w:rsidRPr="000A3F70" w:rsidTr="001A1416">
        <w:tc>
          <w:tcPr>
            <w:tcW w:w="1433" w:type="dxa"/>
            <w:shd w:val="clear" w:color="auto" w:fill="DEEAF6" w:themeFill="accent1" w:themeFillTint="33"/>
          </w:tcPr>
          <w:p w:rsidR="00160319" w:rsidRPr="000A3F70" w:rsidRDefault="00160319" w:rsidP="001A1416">
            <w:pPr>
              <w:spacing w:after="0" w:line="240" w:lineRule="auto"/>
              <w:rPr>
                <w:rFonts w:ascii="Calibri" w:eastAsia="Times New Roman" w:hAnsi="Calibri" w:cs="Times New Roman"/>
                <w:b/>
                <w:szCs w:val="24"/>
                <w:lang w:val="en-GB"/>
              </w:rPr>
            </w:pPr>
          </w:p>
        </w:tc>
        <w:tc>
          <w:tcPr>
            <w:tcW w:w="1969" w:type="dxa"/>
            <w:shd w:val="clear" w:color="auto" w:fill="DEEAF6" w:themeFill="accent1" w:themeFillTint="33"/>
          </w:tcPr>
          <w:p w:rsidR="00160319" w:rsidRPr="000A3F70" w:rsidRDefault="00160319"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Credit</w:t>
            </w:r>
          </w:p>
        </w:tc>
        <w:tc>
          <w:tcPr>
            <w:tcW w:w="5670" w:type="dxa"/>
            <w:shd w:val="clear" w:color="auto" w:fill="auto"/>
          </w:tcPr>
          <w:p w:rsidR="00160319" w:rsidRPr="000A3F70" w:rsidRDefault="00BF0960" w:rsidP="001A1416">
            <w:pPr>
              <w:spacing w:after="0" w:line="240" w:lineRule="auto"/>
              <w:rPr>
                <w:rFonts w:ascii="Calibri" w:eastAsia="Times New Roman" w:hAnsi="Calibri" w:cs="Arial"/>
              </w:rPr>
            </w:pPr>
            <w:r>
              <w:rPr>
                <w:rFonts w:ascii="Calibri" w:eastAsia="Times New Roman" w:hAnsi="Calibri" w:cs="Arial"/>
              </w:rPr>
              <w:t>90</w:t>
            </w:r>
            <w:r w:rsidR="00160319" w:rsidRPr="000A3F70">
              <w:rPr>
                <w:rFonts w:ascii="Calibri" w:eastAsia="Times New Roman" w:hAnsi="Calibri" w:cs="Arial"/>
              </w:rPr>
              <w:t xml:space="preserve"> ECTS</w:t>
            </w:r>
          </w:p>
        </w:tc>
      </w:tr>
      <w:tr w:rsidR="000A3F70" w:rsidRPr="000A3F70" w:rsidTr="001A1416">
        <w:tc>
          <w:tcPr>
            <w:tcW w:w="1433" w:type="dxa"/>
            <w:tcBorders>
              <w:bottom w:val="single" w:sz="4" w:space="0" w:color="auto"/>
            </w:tcBorders>
            <w:shd w:val="clear" w:color="auto" w:fill="DEEAF6" w:themeFill="accent1" w:themeFillTint="33"/>
          </w:tcPr>
          <w:p w:rsidR="00160319" w:rsidRPr="000A3F70" w:rsidRDefault="00160319" w:rsidP="001A1416">
            <w:pPr>
              <w:spacing w:after="0" w:line="240" w:lineRule="auto"/>
              <w:rPr>
                <w:rFonts w:ascii="Calibri" w:eastAsia="Times New Roman" w:hAnsi="Calibri" w:cs="Times New Roman"/>
                <w:b/>
                <w:szCs w:val="24"/>
                <w:lang w:val="en-GB"/>
              </w:rPr>
            </w:pPr>
          </w:p>
        </w:tc>
        <w:tc>
          <w:tcPr>
            <w:tcW w:w="1969" w:type="dxa"/>
            <w:tcBorders>
              <w:bottom w:val="single" w:sz="4" w:space="0" w:color="auto"/>
            </w:tcBorders>
            <w:shd w:val="clear" w:color="auto" w:fill="DEEAF6" w:themeFill="accent1" w:themeFillTint="33"/>
          </w:tcPr>
          <w:p w:rsidR="00160319" w:rsidRPr="00FC49AE" w:rsidRDefault="00160319" w:rsidP="001A1416">
            <w:pPr>
              <w:spacing w:after="0" w:line="240" w:lineRule="auto"/>
              <w:rPr>
                <w:rFonts w:ascii="Calibri" w:eastAsia="Times New Roman" w:hAnsi="Calibri" w:cs="Times New Roman"/>
                <w:b/>
                <w:sz w:val="18"/>
                <w:szCs w:val="18"/>
                <w:lang w:val="en-GB"/>
              </w:rPr>
            </w:pPr>
            <w:r w:rsidRPr="00FC49AE">
              <w:rPr>
                <w:rFonts w:ascii="Calibri" w:eastAsia="Times New Roman" w:hAnsi="Calibri" w:cs="Times New Roman"/>
                <w:b/>
                <w:sz w:val="18"/>
                <w:szCs w:val="18"/>
                <w:lang w:val="en-GB"/>
              </w:rPr>
              <w:t>Recommendation</w:t>
            </w:r>
          </w:p>
          <w:p w:rsidR="00160319" w:rsidRPr="00FC49AE" w:rsidRDefault="00160319" w:rsidP="006D0562">
            <w:pPr>
              <w:spacing w:after="0" w:line="240" w:lineRule="auto"/>
              <w:rPr>
                <w:rFonts w:ascii="Calibri" w:eastAsia="Times New Roman" w:hAnsi="Calibri" w:cs="Times New Roman"/>
                <w:i/>
                <w:sz w:val="14"/>
                <w:szCs w:val="14"/>
                <w:lang w:val="en-GB"/>
              </w:rPr>
            </w:pPr>
            <w:r w:rsidRPr="00FC49AE">
              <w:rPr>
                <w:rFonts w:ascii="Calibri" w:eastAsia="Times New Roman" w:hAnsi="Calibri" w:cs="Times New Roman"/>
                <w:i/>
                <w:sz w:val="14"/>
                <w:szCs w:val="14"/>
                <w:lang w:val="en-GB"/>
              </w:rPr>
              <w:t xml:space="preserve">Satisfactory </w:t>
            </w:r>
          </w:p>
          <w:p w:rsidR="006D0562" w:rsidRPr="000A3F70" w:rsidRDefault="006D0562" w:rsidP="006D0562">
            <w:pPr>
              <w:spacing w:after="0" w:line="240" w:lineRule="auto"/>
              <w:rPr>
                <w:rFonts w:ascii="Calibri" w:eastAsia="Times New Roman" w:hAnsi="Calibri" w:cs="Times New Roman"/>
                <w:b/>
                <w:sz w:val="14"/>
                <w:szCs w:val="14"/>
                <w:lang w:val="en-GB"/>
              </w:rPr>
            </w:pPr>
          </w:p>
        </w:tc>
        <w:tc>
          <w:tcPr>
            <w:tcW w:w="5670" w:type="dxa"/>
            <w:tcBorders>
              <w:bottom w:val="single" w:sz="4" w:space="0" w:color="auto"/>
            </w:tcBorders>
            <w:shd w:val="clear" w:color="auto" w:fill="auto"/>
          </w:tcPr>
          <w:p w:rsidR="00160319" w:rsidRPr="000A3F70" w:rsidRDefault="00160319" w:rsidP="001A1416">
            <w:pPr>
              <w:spacing w:after="0" w:line="240" w:lineRule="auto"/>
              <w:rPr>
                <w:rFonts w:ascii="Calibri" w:eastAsia="Times New Roman" w:hAnsi="Calibri" w:cs="Arial"/>
              </w:rPr>
            </w:pPr>
          </w:p>
        </w:tc>
      </w:tr>
    </w:tbl>
    <w:p w:rsidR="00160319" w:rsidRDefault="00160319" w:rsidP="00160319"/>
    <w:p w:rsidR="00BF0960" w:rsidRPr="000A3F70" w:rsidRDefault="00BF0960" w:rsidP="00160319"/>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969"/>
        <w:gridCol w:w="5670"/>
      </w:tblGrid>
      <w:tr w:rsidR="000A3F70" w:rsidRPr="000A3F70" w:rsidTr="001A1416">
        <w:tc>
          <w:tcPr>
            <w:tcW w:w="1433" w:type="dxa"/>
            <w:shd w:val="clear" w:color="auto" w:fill="DEEAF6" w:themeFill="accent1" w:themeFillTint="33"/>
          </w:tcPr>
          <w:p w:rsidR="00160319" w:rsidRPr="000A3F70" w:rsidRDefault="00BF0960" w:rsidP="001A1416">
            <w:pPr>
              <w:spacing w:after="0" w:line="240" w:lineRule="auto"/>
              <w:rPr>
                <w:rFonts w:ascii="Calibri" w:eastAsia="Times New Roman" w:hAnsi="Calibri" w:cs="Times New Roman"/>
                <w:b/>
                <w:szCs w:val="24"/>
                <w:lang w:val="en-GB"/>
              </w:rPr>
            </w:pPr>
            <w:r>
              <w:rPr>
                <w:rFonts w:ascii="Calibri" w:eastAsia="Times New Roman" w:hAnsi="Calibri" w:cs="Times New Roman"/>
                <w:b/>
                <w:szCs w:val="24"/>
                <w:lang w:val="en-GB"/>
              </w:rPr>
              <w:t xml:space="preserve">Embedded </w:t>
            </w:r>
            <w:r w:rsidR="00160319" w:rsidRPr="000A3F70">
              <w:rPr>
                <w:rFonts w:ascii="Calibri" w:eastAsia="Times New Roman" w:hAnsi="Calibri" w:cs="Times New Roman"/>
                <w:b/>
                <w:szCs w:val="24"/>
                <w:lang w:val="en-GB"/>
              </w:rPr>
              <w:t xml:space="preserve">programme </w:t>
            </w:r>
          </w:p>
        </w:tc>
        <w:tc>
          <w:tcPr>
            <w:tcW w:w="1969" w:type="dxa"/>
            <w:shd w:val="clear" w:color="auto" w:fill="DEEAF6" w:themeFill="accent1" w:themeFillTint="33"/>
          </w:tcPr>
          <w:p w:rsidR="00160319" w:rsidRPr="000A3F70" w:rsidRDefault="00160319" w:rsidP="001A1416">
            <w:pPr>
              <w:spacing w:after="0" w:line="240" w:lineRule="auto"/>
              <w:rPr>
                <w:rFonts w:ascii="Calibri" w:eastAsia="Times New Roman" w:hAnsi="Calibri" w:cs="Arial"/>
              </w:rPr>
            </w:pPr>
            <w:r w:rsidRPr="000A3F70">
              <w:rPr>
                <w:rFonts w:ascii="Calibri" w:eastAsia="Times New Roman" w:hAnsi="Calibri" w:cs="Times New Roman"/>
                <w:b/>
                <w:szCs w:val="24"/>
                <w:lang w:val="en-GB"/>
              </w:rPr>
              <w:t>Title</w:t>
            </w:r>
          </w:p>
        </w:tc>
        <w:tc>
          <w:tcPr>
            <w:tcW w:w="5670" w:type="dxa"/>
            <w:shd w:val="clear" w:color="auto" w:fill="auto"/>
          </w:tcPr>
          <w:p w:rsidR="00160319" w:rsidRPr="000A3F70" w:rsidRDefault="00BF0960" w:rsidP="001A1416">
            <w:pPr>
              <w:spacing w:after="0" w:line="240" w:lineRule="auto"/>
              <w:rPr>
                <w:rFonts w:ascii="Calibri" w:eastAsia="Times New Roman" w:hAnsi="Calibri" w:cs="Arial"/>
              </w:rPr>
            </w:pPr>
            <w:r>
              <w:rPr>
                <w:rFonts w:ascii="Calibri" w:eastAsia="Times New Roman" w:hAnsi="Calibri" w:cs="Arial"/>
              </w:rPr>
              <w:t>Postgraduate Diploma in Arts in Addiction Studies</w:t>
            </w:r>
          </w:p>
        </w:tc>
      </w:tr>
      <w:tr w:rsidR="000A3F70" w:rsidRPr="000A3F70" w:rsidTr="001A1416">
        <w:tc>
          <w:tcPr>
            <w:tcW w:w="1433" w:type="dxa"/>
            <w:shd w:val="clear" w:color="auto" w:fill="DEEAF6" w:themeFill="accent1" w:themeFillTint="33"/>
          </w:tcPr>
          <w:p w:rsidR="00160319" w:rsidRPr="000A3F70" w:rsidRDefault="00160319" w:rsidP="001A1416">
            <w:pPr>
              <w:spacing w:after="0" w:line="240" w:lineRule="auto"/>
              <w:rPr>
                <w:rFonts w:ascii="Calibri" w:eastAsia="Times New Roman" w:hAnsi="Calibri" w:cs="Times New Roman"/>
                <w:b/>
                <w:szCs w:val="24"/>
                <w:lang w:val="en-GB"/>
              </w:rPr>
            </w:pPr>
          </w:p>
        </w:tc>
        <w:tc>
          <w:tcPr>
            <w:tcW w:w="1969" w:type="dxa"/>
            <w:shd w:val="clear" w:color="auto" w:fill="DEEAF6" w:themeFill="accent1" w:themeFillTint="33"/>
          </w:tcPr>
          <w:p w:rsidR="00160319" w:rsidRPr="000A3F70" w:rsidRDefault="00160319" w:rsidP="001A1416">
            <w:pPr>
              <w:spacing w:after="0" w:line="240" w:lineRule="auto"/>
              <w:rPr>
                <w:rFonts w:ascii="Calibri" w:eastAsia="Times New Roman" w:hAnsi="Calibri" w:cs="Arial"/>
              </w:rPr>
            </w:pPr>
            <w:r w:rsidRPr="000A3F70">
              <w:rPr>
                <w:rFonts w:ascii="Calibri" w:eastAsia="Times New Roman" w:hAnsi="Calibri" w:cs="Times New Roman"/>
                <w:b/>
                <w:szCs w:val="24"/>
                <w:lang w:val="en-GB"/>
              </w:rPr>
              <w:t>Award</w:t>
            </w:r>
          </w:p>
        </w:tc>
        <w:tc>
          <w:tcPr>
            <w:tcW w:w="5670" w:type="dxa"/>
            <w:shd w:val="clear" w:color="auto" w:fill="auto"/>
          </w:tcPr>
          <w:p w:rsidR="00160319" w:rsidRPr="000A3F70" w:rsidRDefault="00BF0960" w:rsidP="001A1416">
            <w:pPr>
              <w:spacing w:after="0" w:line="240" w:lineRule="auto"/>
              <w:rPr>
                <w:rFonts w:ascii="Calibri" w:eastAsia="Times New Roman" w:hAnsi="Calibri" w:cs="Arial"/>
              </w:rPr>
            </w:pPr>
            <w:r>
              <w:rPr>
                <w:rFonts w:ascii="Calibri" w:eastAsia="Times New Roman" w:hAnsi="Calibri" w:cs="Arial"/>
              </w:rPr>
              <w:t>Postgraduate Diploma in Arts</w:t>
            </w:r>
          </w:p>
        </w:tc>
      </w:tr>
      <w:tr w:rsidR="000A3F70" w:rsidRPr="000A3F70" w:rsidTr="001A1416">
        <w:tc>
          <w:tcPr>
            <w:tcW w:w="1433" w:type="dxa"/>
            <w:shd w:val="clear" w:color="auto" w:fill="DEEAF6" w:themeFill="accent1" w:themeFillTint="33"/>
          </w:tcPr>
          <w:p w:rsidR="00160319" w:rsidRPr="000A3F70" w:rsidRDefault="00160319" w:rsidP="001A1416">
            <w:pPr>
              <w:spacing w:after="0" w:line="240" w:lineRule="auto"/>
              <w:rPr>
                <w:rFonts w:ascii="Calibri" w:eastAsia="Times New Roman" w:hAnsi="Calibri" w:cs="Times New Roman"/>
                <w:b/>
                <w:szCs w:val="24"/>
                <w:lang w:val="en-GB"/>
              </w:rPr>
            </w:pPr>
          </w:p>
        </w:tc>
        <w:tc>
          <w:tcPr>
            <w:tcW w:w="1969" w:type="dxa"/>
            <w:shd w:val="clear" w:color="auto" w:fill="DEEAF6" w:themeFill="accent1" w:themeFillTint="33"/>
          </w:tcPr>
          <w:p w:rsidR="00160319" w:rsidRPr="000A3F70" w:rsidRDefault="00160319"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Credit</w:t>
            </w:r>
          </w:p>
        </w:tc>
        <w:tc>
          <w:tcPr>
            <w:tcW w:w="5670" w:type="dxa"/>
            <w:shd w:val="clear" w:color="auto" w:fill="auto"/>
          </w:tcPr>
          <w:p w:rsidR="00160319" w:rsidRPr="000A3F70" w:rsidRDefault="00BF0960" w:rsidP="001A1416">
            <w:pPr>
              <w:spacing w:after="0" w:line="240" w:lineRule="auto"/>
              <w:rPr>
                <w:rFonts w:ascii="Calibri" w:eastAsia="Times New Roman" w:hAnsi="Calibri" w:cs="Arial"/>
              </w:rPr>
            </w:pPr>
            <w:r>
              <w:rPr>
                <w:rFonts w:ascii="Calibri" w:eastAsia="Times New Roman" w:hAnsi="Calibri" w:cs="Arial"/>
              </w:rPr>
              <w:t>60</w:t>
            </w:r>
            <w:r w:rsidR="00160319" w:rsidRPr="000A3F70">
              <w:rPr>
                <w:rFonts w:ascii="Calibri" w:eastAsia="Times New Roman" w:hAnsi="Calibri" w:cs="Arial"/>
              </w:rPr>
              <w:t xml:space="preserve"> ECTS</w:t>
            </w:r>
          </w:p>
        </w:tc>
      </w:tr>
      <w:tr w:rsidR="000A3F70" w:rsidRPr="000A3F70" w:rsidTr="001A1416">
        <w:tc>
          <w:tcPr>
            <w:tcW w:w="1433" w:type="dxa"/>
            <w:tcBorders>
              <w:bottom w:val="single" w:sz="4" w:space="0" w:color="auto"/>
            </w:tcBorders>
            <w:shd w:val="clear" w:color="auto" w:fill="DEEAF6" w:themeFill="accent1" w:themeFillTint="33"/>
          </w:tcPr>
          <w:p w:rsidR="00160319" w:rsidRPr="00FC49AE" w:rsidRDefault="00160319" w:rsidP="001A1416">
            <w:pPr>
              <w:spacing w:after="0" w:line="240" w:lineRule="auto"/>
              <w:rPr>
                <w:rFonts w:ascii="Calibri" w:eastAsia="Times New Roman" w:hAnsi="Calibri" w:cs="Times New Roman"/>
                <w:b/>
                <w:szCs w:val="24"/>
                <w:lang w:val="en-GB"/>
              </w:rPr>
            </w:pPr>
          </w:p>
        </w:tc>
        <w:tc>
          <w:tcPr>
            <w:tcW w:w="1969" w:type="dxa"/>
            <w:tcBorders>
              <w:bottom w:val="single" w:sz="4" w:space="0" w:color="auto"/>
            </w:tcBorders>
            <w:shd w:val="clear" w:color="auto" w:fill="DEEAF6" w:themeFill="accent1" w:themeFillTint="33"/>
          </w:tcPr>
          <w:p w:rsidR="00160319" w:rsidRPr="00FC49AE" w:rsidRDefault="00160319" w:rsidP="001A1416">
            <w:pPr>
              <w:spacing w:after="0" w:line="240" w:lineRule="auto"/>
              <w:rPr>
                <w:rFonts w:ascii="Calibri" w:eastAsia="Times New Roman" w:hAnsi="Calibri" w:cs="Times New Roman"/>
                <w:b/>
                <w:sz w:val="18"/>
                <w:szCs w:val="18"/>
                <w:lang w:val="en-GB"/>
              </w:rPr>
            </w:pPr>
            <w:r w:rsidRPr="00FC49AE">
              <w:rPr>
                <w:rFonts w:ascii="Calibri" w:eastAsia="Times New Roman" w:hAnsi="Calibri" w:cs="Times New Roman"/>
                <w:b/>
                <w:sz w:val="18"/>
                <w:szCs w:val="18"/>
                <w:lang w:val="en-GB"/>
              </w:rPr>
              <w:t>Recommendation</w:t>
            </w:r>
          </w:p>
          <w:p w:rsidR="00160319" w:rsidRPr="00FC49AE" w:rsidRDefault="00160319" w:rsidP="006D0562">
            <w:pPr>
              <w:spacing w:after="0" w:line="240" w:lineRule="auto"/>
              <w:rPr>
                <w:rFonts w:ascii="Calibri" w:eastAsia="Times New Roman" w:hAnsi="Calibri" w:cs="Times New Roman"/>
                <w:i/>
                <w:sz w:val="14"/>
                <w:szCs w:val="14"/>
                <w:lang w:val="en-GB"/>
              </w:rPr>
            </w:pPr>
            <w:r w:rsidRPr="00FC49AE">
              <w:rPr>
                <w:rFonts w:ascii="Calibri" w:eastAsia="Times New Roman" w:hAnsi="Calibri" w:cs="Times New Roman"/>
                <w:i/>
                <w:sz w:val="14"/>
                <w:szCs w:val="14"/>
                <w:lang w:val="en-GB"/>
              </w:rPr>
              <w:t xml:space="preserve">Satisfactory </w:t>
            </w:r>
          </w:p>
          <w:p w:rsidR="006D0562" w:rsidRPr="00FC49AE" w:rsidRDefault="006D0562" w:rsidP="006D0562">
            <w:pPr>
              <w:spacing w:after="0" w:line="240" w:lineRule="auto"/>
              <w:rPr>
                <w:rFonts w:ascii="Calibri" w:eastAsia="Times New Roman" w:hAnsi="Calibri" w:cs="Times New Roman"/>
                <w:b/>
                <w:sz w:val="14"/>
                <w:szCs w:val="14"/>
                <w:lang w:val="en-GB"/>
              </w:rPr>
            </w:pPr>
          </w:p>
        </w:tc>
        <w:tc>
          <w:tcPr>
            <w:tcW w:w="5670" w:type="dxa"/>
            <w:tcBorders>
              <w:bottom w:val="single" w:sz="4" w:space="0" w:color="auto"/>
            </w:tcBorders>
            <w:shd w:val="clear" w:color="auto" w:fill="auto"/>
          </w:tcPr>
          <w:p w:rsidR="00160319" w:rsidRPr="000A3F70" w:rsidRDefault="00160319" w:rsidP="001A1416">
            <w:pPr>
              <w:spacing w:after="0" w:line="240" w:lineRule="auto"/>
              <w:rPr>
                <w:rFonts w:ascii="Calibri" w:eastAsia="Times New Roman" w:hAnsi="Calibri" w:cs="Arial"/>
              </w:rPr>
            </w:pPr>
          </w:p>
        </w:tc>
      </w:tr>
    </w:tbl>
    <w:p w:rsidR="00BF0960" w:rsidRDefault="00BF096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969"/>
        <w:gridCol w:w="5670"/>
      </w:tblGrid>
      <w:tr w:rsidR="00BF0960" w:rsidRPr="000A3F70" w:rsidTr="00BF0960">
        <w:tc>
          <w:tcPr>
            <w:tcW w:w="1433" w:type="dxa"/>
            <w:shd w:val="clear" w:color="auto" w:fill="DEEAF6" w:themeFill="accent1" w:themeFillTint="33"/>
          </w:tcPr>
          <w:p w:rsidR="00BF0960" w:rsidRPr="000A3F70" w:rsidRDefault="00BF0960" w:rsidP="00BF0960">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Principal programme </w:t>
            </w:r>
          </w:p>
        </w:tc>
        <w:tc>
          <w:tcPr>
            <w:tcW w:w="1969" w:type="dxa"/>
            <w:shd w:val="clear" w:color="auto" w:fill="DEEAF6" w:themeFill="accent1" w:themeFillTint="33"/>
          </w:tcPr>
          <w:p w:rsidR="00BF0960" w:rsidRPr="000A3F70" w:rsidRDefault="00BF0960" w:rsidP="00BF0960">
            <w:pPr>
              <w:spacing w:after="0" w:line="240" w:lineRule="auto"/>
              <w:rPr>
                <w:rFonts w:ascii="Calibri" w:eastAsia="Times New Roman" w:hAnsi="Calibri" w:cs="Arial"/>
              </w:rPr>
            </w:pPr>
            <w:r w:rsidRPr="000A3F70">
              <w:rPr>
                <w:rFonts w:ascii="Calibri" w:eastAsia="Times New Roman" w:hAnsi="Calibri" w:cs="Times New Roman"/>
                <w:b/>
                <w:szCs w:val="24"/>
                <w:lang w:val="en-GB"/>
              </w:rPr>
              <w:t>Title</w:t>
            </w:r>
          </w:p>
        </w:tc>
        <w:tc>
          <w:tcPr>
            <w:tcW w:w="5670" w:type="dxa"/>
            <w:shd w:val="clear" w:color="auto" w:fill="auto"/>
          </w:tcPr>
          <w:p w:rsidR="00BF0960" w:rsidRPr="00FC49AE" w:rsidRDefault="00096CAF" w:rsidP="00BF0960">
            <w:pPr>
              <w:spacing w:after="0" w:line="240" w:lineRule="auto"/>
              <w:rPr>
                <w:rFonts w:ascii="Calibri" w:eastAsia="Times New Roman" w:hAnsi="Calibri" w:cs="Arial"/>
              </w:rPr>
            </w:pPr>
            <w:r w:rsidRPr="00FC49AE">
              <w:rPr>
                <w:rFonts w:ascii="Calibri" w:eastAsia="Times New Roman" w:hAnsi="Calibri" w:cs="Arial"/>
              </w:rPr>
              <w:t>MA in</w:t>
            </w:r>
            <w:r w:rsidR="00BF0960" w:rsidRPr="00FC49AE">
              <w:rPr>
                <w:rFonts w:ascii="Calibri" w:eastAsia="Times New Roman" w:hAnsi="Calibri" w:cs="Arial"/>
              </w:rPr>
              <w:t xml:space="preserve"> Psychoanalytic Psychotherapy</w:t>
            </w:r>
          </w:p>
        </w:tc>
      </w:tr>
      <w:tr w:rsidR="00BF0960" w:rsidRPr="000A3F70" w:rsidTr="00BF0960">
        <w:tc>
          <w:tcPr>
            <w:tcW w:w="1433" w:type="dxa"/>
            <w:shd w:val="clear" w:color="auto" w:fill="DEEAF6" w:themeFill="accent1" w:themeFillTint="33"/>
          </w:tcPr>
          <w:p w:rsidR="00BF0960" w:rsidRPr="000A3F70" w:rsidRDefault="00BF0960" w:rsidP="00BF0960">
            <w:pPr>
              <w:spacing w:after="0" w:line="240" w:lineRule="auto"/>
              <w:rPr>
                <w:rFonts w:ascii="Calibri" w:eastAsia="Times New Roman" w:hAnsi="Calibri" w:cs="Times New Roman"/>
                <w:b/>
                <w:szCs w:val="24"/>
                <w:lang w:val="en-GB"/>
              </w:rPr>
            </w:pPr>
          </w:p>
        </w:tc>
        <w:tc>
          <w:tcPr>
            <w:tcW w:w="1969" w:type="dxa"/>
            <w:shd w:val="clear" w:color="auto" w:fill="DEEAF6" w:themeFill="accent1" w:themeFillTint="33"/>
          </w:tcPr>
          <w:p w:rsidR="00BF0960" w:rsidRPr="000A3F70" w:rsidRDefault="00BF0960" w:rsidP="00BF0960">
            <w:pPr>
              <w:spacing w:after="0" w:line="240" w:lineRule="auto"/>
              <w:rPr>
                <w:rFonts w:ascii="Calibri" w:eastAsia="Times New Roman" w:hAnsi="Calibri" w:cs="Arial"/>
              </w:rPr>
            </w:pPr>
            <w:r w:rsidRPr="000A3F70">
              <w:rPr>
                <w:rFonts w:ascii="Calibri" w:eastAsia="Times New Roman" w:hAnsi="Calibri" w:cs="Times New Roman"/>
                <w:b/>
                <w:szCs w:val="24"/>
                <w:lang w:val="en-GB"/>
              </w:rPr>
              <w:t>Award</w:t>
            </w:r>
          </w:p>
        </w:tc>
        <w:tc>
          <w:tcPr>
            <w:tcW w:w="5670" w:type="dxa"/>
            <w:shd w:val="clear" w:color="auto" w:fill="auto"/>
          </w:tcPr>
          <w:p w:rsidR="00BF0960" w:rsidRPr="000A3F70" w:rsidRDefault="00BF0960" w:rsidP="00BF0960">
            <w:pPr>
              <w:spacing w:after="0" w:line="240" w:lineRule="auto"/>
              <w:rPr>
                <w:rFonts w:ascii="Calibri" w:eastAsia="Times New Roman" w:hAnsi="Calibri" w:cs="Arial"/>
              </w:rPr>
            </w:pPr>
            <w:r>
              <w:rPr>
                <w:rFonts w:ascii="Calibri" w:eastAsia="Times New Roman" w:hAnsi="Calibri" w:cs="Arial"/>
              </w:rPr>
              <w:t>MA in Arts</w:t>
            </w:r>
          </w:p>
        </w:tc>
      </w:tr>
      <w:tr w:rsidR="00BF0960" w:rsidRPr="000A3F70" w:rsidTr="00BF0960">
        <w:tc>
          <w:tcPr>
            <w:tcW w:w="1433" w:type="dxa"/>
            <w:shd w:val="clear" w:color="auto" w:fill="DEEAF6" w:themeFill="accent1" w:themeFillTint="33"/>
          </w:tcPr>
          <w:p w:rsidR="00BF0960" w:rsidRPr="000A3F70" w:rsidRDefault="00BF0960" w:rsidP="00BF0960">
            <w:pPr>
              <w:spacing w:after="0" w:line="240" w:lineRule="auto"/>
              <w:rPr>
                <w:rFonts w:ascii="Calibri" w:eastAsia="Times New Roman" w:hAnsi="Calibri" w:cs="Times New Roman"/>
                <w:b/>
                <w:szCs w:val="24"/>
                <w:lang w:val="en-GB"/>
              </w:rPr>
            </w:pPr>
          </w:p>
        </w:tc>
        <w:tc>
          <w:tcPr>
            <w:tcW w:w="1969" w:type="dxa"/>
            <w:shd w:val="clear" w:color="auto" w:fill="DEEAF6" w:themeFill="accent1" w:themeFillTint="33"/>
          </w:tcPr>
          <w:p w:rsidR="00BF0960" w:rsidRPr="000A3F70" w:rsidRDefault="00BF0960" w:rsidP="00BF0960">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Credit</w:t>
            </w:r>
          </w:p>
        </w:tc>
        <w:tc>
          <w:tcPr>
            <w:tcW w:w="5670" w:type="dxa"/>
            <w:shd w:val="clear" w:color="auto" w:fill="auto"/>
          </w:tcPr>
          <w:p w:rsidR="00BF0960" w:rsidRPr="000A3F70" w:rsidRDefault="00BF0960" w:rsidP="00BF0960">
            <w:pPr>
              <w:spacing w:after="0" w:line="240" w:lineRule="auto"/>
              <w:rPr>
                <w:rFonts w:ascii="Calibri" w:eastAsia="Times New Roman" w:hAnsi="Calibri" w:cs="Arial"/>
              </w:rPr>
            </w:pPr>
            <w:r>
              <w:rPr>
                <w:rFonts w:ascii="Calibri" w:eastAsia="Times New Roman" w:hAnsi="Calibri" w:cs="Arial"/>
              </w:rPr>
              <w:t>120</w:t>
            </w:r>
            <w:r w:rsidRPr="000A3F70">
              <w:rPr>
                <w:rFonts w:ascii="Calibri" w:eastAsia="Times New Roman" w:hAnsi="Calibri" w:cs="Arial"/>
              </w:rPr>
              <w:t xml:space="preserve"> ECTS</w:t>
            </w:r>
          </w:p>
        </w:tc>
      </w:tr>
      <w:tr w:rsidR="00BF0960" w:rsidRPr="000A3F70" w:rsidTr="00BF0960">
        <w:tc>
          <w:tcPr>
            <w:tcW w:w="1433" w:type="dxa"/>
            <w:tcBorders>
              <w:bottom w:val="single" w:sz="4" w:space="0" w:color="auto"/>
            </w:tcBorders>
            <w:shd w:val="clear" w:color="auto" w:fill="DEEAF6" w:themeFill="accent1" w:themeFillTint="33"/>
          </w:tcPr>
          <w:p w:rsidR="00BF0960" w:rsidRPr="000A3F70" w:rsidRDefault="00BF0960" w:rsidP="00BF0960">
            <w:pPr>
              <w:spacing w:after="0" w:line="240" w:lineRule="auto"/>
              <w:rPr>
                <w:rFonts w:ascii="Calibri" w:eastAsia="Times New Roman" w:hAnsi="Calibri" w:cs="Times New Roman"/>
                <w:b/>
                <w:szCs w:val="24"/>
                <w:lang w:val="en-GB"/>
              </w:rPr>
            </w:pPr>
          </w:p>
        </w:tc>
        <w:tc>
          <w:tcPr>
            <w:tcW w:w="1969" w:type="dxa"/>
            <w:tcBorders>
              <w:bottom w:val="single" w:sz="4" w:space="0" w:color="auto"/>
            </w:tcBorders>
            <w:shd w:val="clear" w:color="auto" w:fill="DEEAF6" w:themeFill="accent1" w:themeFillTint="33"/>
          </w:tcPr>
          <w:p w:rsidR="00BF0960" w:rsidRPr="00FC49AE" w:rsidRDefault="00BF0960" w:rsidP="00BF0960">
            <w:pPr>
              <w:spacing w:after="0" w:line="240" w:lineRule="auto"/>
              <w:rPr>
                <w:rFonts w:ascii="Calibri" w:eastAsia="Times New Roman" w:hAnsi="Calibri" w:cs="Times New Roman"/>
                <w:b/>
                <w:sz w:val="18"/>
                <w:szCs w:val="18"/>
                <w:lang w:val="en-GB"/>
              </w:rPr>
            </w:pPr>
            <w:r w:rsidRPr="00FC49AE">
              <w:rPr>
                <w:rFonts w:ascii="Calibri" w:eastAsia="Times New Roman" w:hAnsi="Calibri" w:cs="Times New Roman"/>
                <w:b/>
                <w:sz w:val="18"/>
                <w:szCs w:val="18"/>
                <w:lang w:val="en-GB"/>
              </w:rPr>
              <w:t>Recommendation</w:t>
            </w:r>
          </w:p>
          <w:p w:rsidR="00BF0960" w:rsidRPr="00FC49AE" w:rsidRDefault="00BF0960" w:rsidP="006D0562">
            <w:pPr>
              <w:spacing w:after="0" w:line="240" w:lineRule="auto"/>
              <w:rPr>
                <w:rFonts w:ascii="Calibri" w:eastAsia="Times New Roman" w:hAnsi="Calibri" w:cs="Times New Roman"/>
                <w:i/>
                <w:sz w:val="14"/>
                <w:szCs w:val="14"/>
                <w:lang w:val="en-GB"/>
              </w:rPr>
            </w:pPr>
            <w:r w:rsidRPr="00FC49AE">
              <w:rPr>
                <w:rFonts w:ascii="Calibri" w:eastAsia="Times New Roman" w:hAnsi="Calibri" w:cs="Times New Roman"/>
                <w:i/>
                <w:sz w:val="14"/>
                <w:szCs w:val="14"/>
                <w:lang w:val="en-GB"/>
              </w:rPr>
              <w:t xml:space="preserve">Satisfactory </w:t>
            </w:r>
          </w:p>
          <w:p w:rsidR="006D0562" w:rsidRPr="000A3F70" w:rsidRDefault="006D0562" w:rsidP="006D0562">
            <w:pPr>
              <w:spacing w:after="0" w:line="240" w:lineRule="auto"/>
              <w:rPr>
                <w:rFonts w:ascii="Calibri" w:eastAsia="Times New Roman" w:hAnsi="Calibri" w:cs="Times New Roman"/>
                <w:b/>
                <w:sz w:val="14"/>
                <w:szCs w:val="14"/>
                <w:lang w:val="en-GB"/>
              </w:rPr>
            </w:pPr>
          </w:p>
        </w:tc>
        <w:tc>
          <w:tcPr>
            <w:tcW w:w="5670" w:type="dxa"/>
            <w:tcBorders>
              <w:bottom w:val="single" w:sz="4" w:space="0" w:color="auto"/>
            </w:tcBorders>
            <w:shd w:val="clear" w:color="auto" w:fill="auto"/>
          </w:tcPr>
          <w:p w:rsidR="00BF0960" w:rsidRPr="000A3F70" w:rsidRDefault="00BF0960" w:rsidP="00BF0960">
            <w:pPr>
              <w:spacing w:after="0" w:line="240" w:lineRule="auto"/>
              <w:rPr>
                <w:rFonts w:ascii="Calibri" w:eastAsia="Times New Roman" w:hAnsi="Calibri" w:cs="Arial"/>
              </w:rPr>
            </w:pPr>
          </w:p>
        </w:tc>
      </w:tr>
    </w:tbl>
    <w:p w:rsidR="008F0EA6" w:rsidRPr="000A3F70" w:rsidRDefault="008F0EA6">
      <w:pPr>
        <w:rPr>
          <w:rFonts w:asciiTheme="majorHAnsi" w:eastAsiaTheme="majorEastAsia" w:hAnsiTheme="majorHAnsi" w:cstheme="majorBidi"/>
          <w:sz w:val="26"/>
          <w:szCs w:val="26"/>
        </w:rPr>
      </w:pPr>
      <w:r w:rsidRPr="000A3F70">
        <w:br w:type="page"/>
      </w:r>
    </w:p>
    <w:p w:rsidR="008F0EA6" w:rsidRPr="000A3F70" w:rsidRDefault="008F0EA6" w:rsidP="008F0EA6">
      <w:pPr>
        <w:pStyle w:val="Heading1"/>
      </w:pPr>
      <w:bookmarkStart w:id="23" w:name="_Toc513221594"/>
      <w:r w:rsidRPr="000A3F70">
        <w:t>Panel</w:t>
      </w:r>
      <w:bookmarkEnd w:id="23"/>
    </w:p>
    <w:p w:rsidR="007B418A" w:rsidRPr="000A3F70" w:rsidRDefault="007B418A" w:rsidP="007B418A"/>
    <w:tbl>
      <w:tblPr>
        <w:tblStyle w:val="TableGrid"/>
        <w:tblW w:w="9072" w:type="dxa"/>
        <w:tblInd w:w="-5" w:type="dxa"/>
        <w:tblLook w:val="04A0" w:firstRow="1" w:lastRow="0" w:firstColumn="1" w:lastColumn="0" w:noHBand="0" w:noVBand="1"/>
      </w:tblPr>
      <w:tblGrid>
        <w:gridCol w:w="2835"/>
        <w:gridCol w:w="1982"/>
        <w:gridCol w:w="4255"/>
      </w:tblGrid>
      <w:tr w:rsidR="004B6E8E" w:rsidRPr="000A3F70" w:rsidTr="4B803086">
        <w:tc>
          <w:tcPr>
            <w:tcW w:w="2835" w:type="dxa"/>
            <w:shd w:val="clear" w:color="auto" w:fill="DEEAF6" w:themeFill="accent1" w:themeFillTint="33"/>
          </w:tcPr>
          <w:p w:rsidR="008F0EA6" w:rsidRPr="000A3F70" w:rsidRDefault="008F0EA6" w:rsidP="008F0EA6">
            <w:pPr>
              <w:rPr>
                <w:b/>
              </w:rPr>
            </w:pPr>
            <w:r w:rsidRPr="000A3F70">
              <w:rPr>
                <w:b/>
              </w:rPr>
              <w:t>Name</w:t>
            </w:r>
          </w:p>
        </w:tc>
        <w:tc>
          <w:tcPr>
            <w:tcW w:w="1982" w:type="dxa"/>
            <w:shd w:val="clear" w:color="auto" w:fill="DEEAF6" w:themeFill="accent1" w:themeFillTint="33"/>
          </w:tcPr>
          <w:p w:rsidR="008F0EA6" w:rsidRPr="000A3F70" w:rsidRDefault="008F0EA6" w:rsidP="008F0EA6">
            <w:pPr>
              <w:rPr>
                <w:b/>
              </w:rPr>
            </w:pPr>
            <w:r w:rsidRPr="000A3F70">
              <w:rPr>
                <w:b/>
              </w:rPr>
              <w:t>Role</w:t>
            </w:r>
          </w:p>
        </w:tc>
        <w:tc>
          <w:tcPr>
            <w:tcW w:w="4255" w:type="dxa"/>
            <w:shd w:val="clear" w:color="auto" w:fill="DEEAF6" w:themeFill="accent1" w:themeFillTint="33"/>
          </w:tcPr>
          <w:p w:rsidR="008F0EA6" w:rsidRPr="000A3F70" w:rsidRDefault="008F0EA6" w:rsidP="008F0EA6">
            <w:pPr>
              <w:rPr>
                <w:b/>
              </w:rPr>
            </w:pPr>
            <w:r w:rsidRPr="000A3F70">
              <w:rPr>
                <w:b/>
              </w:rPr>
              <w:t>Affiliation</w:t>
            </w:r>
          </w:p>
        </w:tc>
      </w:tr>
      <w:tr w:rsidR="004B6E8E" w:rsidRPr="000A3F70" w:rsidTr="4B803086">
        <w:tc>
          <w:tcPr>
            <w:tcW w:w="2835" w:type="dxa"/>
            <w:shd w:val="clear" w:color="auto" w:fill="auto"/>
          </w:tcPr>
          <w:p w:rsidR="008F0EA6" w:rsidRPr="000A3F70" w:rsidRDefault="00CD6EED" w:rsidP="008F0EA6">
            <w:r w:rsidRPr="000A3F70">
              <w:t>Ms Donna Bell</w:t>
            </w:r>
          </w:p>
        </w:tc>
        <w:tc>
          <w:tcPr>
            <w:tcW w:w="1982" w:type="dxa"/>
            <w:shd w:val="clear" w:color="auto" w:fill="auto"/>
          </w:tcPr>
          <w:p w:rsidR="008F0EA6" w:rsidRPr="000A3F70" w:rsidRDefault="008F0EA6" w:rsidP="008F0EA6">
            <w:r w:rsidRPr="000A3F70">
              <w:t>Chair</w:t>
            </w:r>
          </w:p>
        </w:tc>
        <w:tc>
          <w:tcPr>
            <w:tcW w:w="4255" w:type="dxa"/>
            <w:shd w:val="clear" w:color="auto" w:fill="auto"/>
          </w:tcPr>
          <w:p w:rsidR="008F0EA6" w:rsidRPr="000A3F70" w:rsidRDefault="00CD6EED" w:rsidP="008F0EA6">
            <w:r w:rsidRPr="000A3F70">
              <w:t>Independent Consultant</w:t>
            </w:r>
          </w:p>
        </w:tc>
      </w:tr>
      <w:tr w:rsidR="004B6E8E" w:rsidRPr="000A3F70" w:rsidTr="4B803086">
        <w:trPr>
          <w:trHeight w:val="315"/>
        </w:trPr>
        <w:tc>
          <w:tcPr>
            <w:tcW w:w="2835" w:type="dxa"/>
            <w:shd w:val="clear" w:color="auto" w:fill="auto"/>
          </w:tcPr>
          <w:p w:rsidR="008F0EA6" w:rsidRPr="000A3F70" w:rsidRDefault="00CD6EED" w:rsidP="008F0EA6">
            <w:r w:rsidRPr="000A3F70">
              <w:t>Mary Jennings</w:t>
            </w:r>
          </w:p>
        </w:tc>
        <w:tc>
          <w:tcPr>
            <w:tcW w:w="1982" w:type="dxa"/>
            <w:shd w:val="clear" w:color="auto" w:fill="auto"/>
          </w:tcPr>
          <w:p w:rsidR="008F0EA6" w:rsidRPr="000A3F70" w:rsidRDefault="008F0EA6" w:rsidP="008F0EA6">
            <w:r w:rsidRPr="000A3F70">
              <w:t>Secretary</w:t>
            </w:r>
          </w:p>
        </w:tc>
        <w:tc>
          <w:tcPr>
            <w:tcW w:w="4255" w:type="dxa"/>
            <w:shd w:val="clear" w:color="auto" w:fill="auto"/>
          </w:tcPr>
          <w:p w:rsidR="008F0EA6" w:rsidRPr="000A3F70" w:rsidRDefault="00CD6EED" w:rsidP="008F0EA6">
            <w:r w:rsidRPr="000A3F70">
              <w:t>Independent Consultant</w:t>
            </w:r>
          </w:p>
        </w:tc>
      </w:tr>
      <w:tr w:rsidR="004B6E8E" w:rsidRPr="000A3F70" w:rsidTr="4B803086">
        <w:trPr>
          <w:trHeight w:val="315"/>
        </w:trPr>
        <w:tc>
          <w:tcPr>
            <w:tcW w:w="2835" w:type="dxa"/>
            <w:shd w:val="clear" w:color="auto" w:fill="auto"/>
          </w:tcPr>
          <w:p w:rsidR="008F0EA6" w:rsidRPr="000A3F70" w:rsidRDefault="00CD6EED" w:rsidP="008F0EA6">
            <w:r w:rsidRPr="000A3F70">
              <w:t>Dr Sarah Morton</w:t>
            </w:r>
          </w:p>
        </w:tc>
        <w:tc>
          <w:tcPr>
            <w:tcW w:w="1982" w:type="dxa"/>
            <w:shd w:val="clear" w:color="auto" w:fill="auto"/>
          </w:tcPr>
          <w:p w:rsidR="008F0EA6" w:rsidRPr="000A3F70" w:rsidRDefault="008F0EA6" w:rsidP="008F0EA6">
            <w:r w:rsidRPr="000A3F70">
              <w:t>Subject Expert</w:t>
            </w:r>
          </w:p>
        </w:tc>
        <w:tc>
          <w:tcPr>
            <w:tcW w:w="4255" w:type="dxa"/>
            <w:shd w:val="clear" w:color="auto" w:fill="auto"/>
          </w:tcPr>
          <w:p w:rsidR="008F0EA6" w:rsidRPr="000A3F70" w:rsidRDefault="00CD6EED" w:rsidP="008F0EA6">
            <w:r w:rsidRPr="000A3F70">
              <w:t>Assistant Professor, School of Social Policy, Social Work and Social Justice, UCD</w:t>
            </w:r>
          </w:p>
        </w:tc>
      </w:tr>
      <w:tr w:rsidR="004B6E8E" w:rsidRPr="000A3F70" w:rsidTr="4B803086">
        <w:trPr>
          <w:trHeight w:val="315"/>
        </w:trPr>
        <w:tc>
          <w:tcPr>
            <w:tcW w:w="2835" w:type="dxa"/>
            <w:shd w:val="clear" w:color="auto" w:fill="auto"/>
          </w:tcPr>
          <w:p w:rsidR="008F0EA6" w:rsidRPr="000A3F70" w:rsidRDefault="00CD6EED" w:rsidP="008F0EA6">
            <w:r w:rsidRPr="000A3F70">
              <w:t>Dr Mary Darby</w:t>
            </w:r>
          </w:p>
        </w:tc>
        <w:tc>
          <w:tcPr>
            <w:tcW w:w="1982" w:type="dxa"/>
            <w:shd w:val="clear" w:color="auto" w:fill="auto"/>
          </w:tcPr>
          <w:p w:rsidR="008F0EA6" w:rsidRPr="000A3F70" w:rsidRDefault="008F0EA6" w:rsidP="008F0EA6">
            <w:r w:rsidRPr="000A3F70">
              <w:t>Subject Expert</w:t>
            </w:r>
          </w:p>
        </w:tc>
        <w:tc>
          <w:tcPr>
            <w:tcW w:w="4255" w:type="dxa"/>
            <w:shd w:val="clear" w:color="auto" w:fill="auto"/>
          </w:tcPr>
          <w:p w:rsidR="008F0EA6" w:rsidRPr="000A3F70" w:rsidRDefault="00CD6EED" w:rsidP="008F0EA6">
            <w:r w:rsidRPr="000A3F70">
              <w:t>Consultant Psychiatrist, School of Psychotherapy, St Vincent’s Hospital</w:t>
            </w:r>
          </w:p>
        </w:tc>
      </w:tr>
      <w:tr w:rsidR="00F91A7F" w:rsidRPr="000A3F70" w:rsidTr="4B803086">
        <w:trPr>
          <w:trHeight w:val="315"/>
        </w:trPr>
        <w:tc>
          <w:tcPr>
            <w:tcW w:w="2835" w:type="dxa"/>
            <w:shd w:val="clear" w:color="auto" w:fill="auto"/>
          </w:tcPr>
          <w:p w:rsidR="00F91A7F" w:rsidRPr="000A3F70" w:rsidRDefault="00F91A7F" w:rsidP="008F0EA6">
            <w:r w:rsidRPr="000A3F70">
              <w:t>Dr Aisling Campbell</w:t>
            </w:r>
          </w:p>
        </w:tc>
        <w:tc>
          <w:tcPr>
            <w:tcW w:w="1982" w:type="dxa"/>
            <w:shd w:val="clear" w:color="auto" w:fill="auto"/>
          </w:tcPr>
          <w:p w:rsidR="00F91A7F" w:rsidRPr="000A3F70" w:rsidRDefault="00F91A7F" w:rsidP="008F0EA6">
            <w:r w:rsidRPr="000A3F70">
              <w:t>Subject Expert</w:t>
            </w:r>
          </w:p>
        </w:tc>
        <w:tc>
          <w:tcPr>
            <w:tcW w:w="4255" w:type="dxa"/>
            <w:shd w:val="clear" w:color="auto" w:fill="auto"/>
          </w:tcPr>
          <w:p w:rsidR="00F91A7F" w:rsidRPr="000A3F70" w:rsidRDefault="00F91A7F" w:rsidP="008F0EA6">
            <w:r w:rsidRPr="000A3F70">
              <w:t>Consultant Psychiatrist and lecturer in psychiatry in UCC</w:t>
            </w:r>
          </w:p>
        </w:tc>
      </w:tr>
      <w:tr w:rsidR="00F91A7F" w:rsidRPr="000A3F70" w:rsidTr="4B803086">
        <w:trPr>
          <w:trHeight w:val="315"/>
        </w:trPr>
        <w:tc>
          <w:tcPr>
            <w:tcW w:w="2835" w:type="dxa"/>
            <w:shd w:val="clear" w:color="auto" w:fill="auto"/>
          </w:tcPr>
          <w:p w:rsidR="00F91A7F" w:rsidRPr="000A3F70" w:rsidRDefault="00F91A7F" w:rsidP="008F0EA6">
            <w:r w:rsidRPr="000A3F70">
              <w:t>Dr Derek Barter</w:t>
            </w:r>
          </w:p>
        </w:tc>
        <w:tc>
          <w:tcPr>
            <w:tcW w:w="1982" w:type="dxa"/>
            <w:shd w:val="clear" w:color="auto" w:fill="auto"/>
          </w:tcPr>
          <w:p w:rsidR="00F91A7F" w:rsidRPr="000A3F70" w:rsidRDefault="00F91A7F" w:rsidP="008F0EA6">
            <w:r w:rsidRPr="000A3F70">
              <w:t>Subject Expert</w:t>
            </w:r>
          </w:p>
        </w:tc>
        <w:tc>
          <w:tcPr>
            <w:tcW w:w="4255" w:type="dxa"/>
            <w:shd w:val="clear" w:color="auto" w:fill="auto"/>
          </w:tcPr>
          <w:p w:rsidR="00F91A7F" w:rsidRPr="000A3F70" w:rsidRDefault="00F91A7F" w:rsidP="008F0EA6">
            <w:r w:rsidRPr="000A3F70">
              <w:t>Continuing Education Manager, Dept of Adult and Community Education NUI Maynooth</w:t>
            </w:r>
          </w:p>
        </w:tc>
      </w:tr>
      <w:tr w:rsidR="004B6E8E" w:rsidRPr="000A3F70" w:rsidTr="4B803086">
        <w:trPr>
          <w:trHeight w:val="315"/>
        </w:trPr>
        <w:tc>
          <w:tcPr>
            <w:tcW w:w="2835" w:type="dxa"/>
            <w:shd w:val="clear" w:color="auto" w:fill="auto"/>
          </w:tcPr>
          <w:p w:rsidR="008F0EA6" w:rsidRPr="000A3F70" w:rsidRDefault="00F91A7F" w:rsidP="008F0EA6">
            <w:r w:rsidRPr="000A3F70">
              <w:t>Mr Conor Roe</w:t>
            </w:r>
          </w:p>
        </w:tc>
        <w:tc>
          <w:tcPr>
            <w:tcW w:w="1982" w:type="dxa"/>
            <w:shd w:val="clear" w:color="auto" w:fill="auto"/>
          </w:tcPr>
          <w:p w:rsidR="008F0EA6" w:rsidRPr="000A3F70" w:rsidRDefault="008F0EA6" w:rsidP="008F0EA6">
            <w:r w:rsidRPr="000A3F70">
              <w:t>Learner Representative</w:t>
            </w:r>
          </w:p>
        </w:tc>
        <w:tc>
          <w:tcPr>
            <w:tcW w:w="4255" w:type="dxa"/>
            <w:shd w:val="clear" w:color="auto" w:fill="auto"/>
          </w:tcPr>
          <w:p w:rsidR="00F91A7F" w:rsidRPr="000A3F70" w:rsidRDefault="00F91A7F" w:rsidP="00F91A7F">
            <w:pPr>
              <w:rPr>
                <w:lang w:val="en-GB"/>
              </w:rPr>
            </w:pPr>
            <w:r w:rsidRPr="000A3F70">
              <w:rPr>
                <w:lang w:val="en-GB"/>
              </w:rPr>
              <w:t>Masters in Science -  Integrative Psychotherapy, DCU</w:t>
            </w:r>
          </w:p>
          <w:p w:rsidR="008F0EA6" w:rsidRPr="000A3F70" w:rsidRDefault="008F0EA6" w:rsidP="008F0EA6"/>
        </w:tc>
      </w:tr>
      <w:tr w:rsidR="004B6E8E" w:rsidRPr="000A3F70" w:rsidTr="4B803086">
        <w:trPr>
          <w:trHeight w:val="315"/>
        </w:trPr>
        <w:tc>
          <w:tcPr>
            <w:tcW w:w="2835" w:type="dxa"/>
            <w:shd w:val="clear" w:color="auto" w:fill="auto"/>
          </w:tcPr>
          <w:p w:rsidR="008F0EA6" w:rsidRPr="000A3F70" w:rsidRDefault="00F91A7F" w:rsidP="008F0EA6">
            <w:r w:rsidRPr="000A3F70">
              <w:t>Dr Brian Galvin</w:t>
            </w:r>
          </w:p>
        </w:tc>
        <w:tc>
          <w:tcPr>
            <w:tcW w:w="1982" w:type="dxa"/>
            <w:shd w:val="clear" w:color="auto" w:fill="auto"/>
          </w:tcPr>
          <w:p w:rsidR="008F0EA6" w:rsidRPr="000A3F70" w:rsidRDefault="008F0EA6" w:rsidP="008F0EA6">
            <w:r w:rsidRPr="000A3F70">
              <w:t>Employer Representative</w:t>
            </w:r>
          </w:p>
        </w:tc>
        <w:tc>
          <w:tcPr>
            <w:tcW w:w="4255" w:type="dxa"/>
            <w:shd w:val="clear" w:color="auto" w:fill="auto"/>
          </w:tcPr>
          <w:p w:rsidR="008F0EA6" w:rsidRPr="000A3F70" w:rsidRDefault="00F91A7F" w:rsidP="008F0EA6">
            <w:r w:rsidRPr="000A3F70">
              <w:t>Head of Irish National Focal Point to EMCDDA,  Health Research Bureau (HRB)</w:t>
            </w:r>
          </w:p>
        </w:tc>
      </w:tr>
    </w:tbl>
    <w:p w:rsidR="008F0EA6" w:rsidRPr="000A3F70" w:rsidRDefault="008F0EA6" w:rsidP="008F0EA6"/>
    <w:p w:rsidR="008F0EA6" w:rsidRPr="000A3F70" w:rsidRDefault="4B803086" w:rsidP="008F0EA6">
      <w:r w:rsidRPr="000A3F70">
        <w:t xml:space="preserve">All members of the panel have declared </w:t>
      </w:r>
      <w:r w:rsidR="00D1143B">
        <w:t xml:space="preserve">that they are independent </w:t>
      </w:r>
      <w:r w:rsidR="00D1143B" w:rsidRPr="00FC49AE">
        <w:t>of DBS</w:t>
      </w:r>
      <w:r w:rsidRPr="00D1143B">
        <w:rPr>
          <w:color w:val="FF0000"/>
        </w:rPr>
        <w:t xml:space="preserve"> </w:t>
      </w:r>
      <w:r w:rsidRPr="000A3F70">
        <w:t xml:space="preserve">and have no conflict of interest. </w:t>
      </w:r>
    </w:p>
    <w:p w:rsidR="008F0EA6" w:rsidRPr="000A3F70" w:rsidRDefault="008F0EA6">
      <w:r w:rsidRPr="000A3F70">
        <w:br w:type="page"/>
      </w:r>
    </w:p>
    <w:p w:rsidR="00472A27" w:rsidRPr="000A3F70" w:rsidRDefault="00472A27" w:rsidP="00472A27">
      <w:pPr>
        <w:pStyle w:val="Heading1"/>
        <w:rPr>
          <w:rFonts w:eastAsia="Times New Roman"/>
          <w:lang w:val="en-GB"/>
        </w:rPr>
      </w:pPr>
      <w:bookmarkStart w:id="24" w:name="_Toc513221595"/>
      <w:r w:rsidRPr="000A3F70">
        <w:rPr>
          <w:rFonts w:eastAsia="Times New Roman"/>
          <w:lang w:val="en-GB"/>
        </w:rPr>
        <w:t>Appendix 1: Evaluation Report on Modified Programme intended to be submitted as an Application for Revalidation</w:t>
      </w:r>
      <w:bookmarkEnd w:id="24"/>
      <w:r w:rsidRPr="000A3F70">
        <w:rPr>
          <w:rFonts w:eastAsia="Times New Roman"/>
          <w:lang w:val="en-GB"/>
        </w:rPr>
        <w:t xml:space="preserve"> </w:t>
      </w:r>
    </w:p>
    <w:p w:rsidR="00472A27" w:rsidRPr="000A3F70" w:rsidRDefault="00472A27" w:rsidP="00472A27">
      <w:pPr>
        <w:pStyle w:val="Heading1"/>
        <w:numPr>
          <w:ilvl w:val="0"/>
          <w:numId w:val="0"/>
        </w:numPr>
      </w:pPr>
      <w:bookmarkStart w:id="25" w:name="_Toc479176606"/>
      <w:bookmarkStart w:id="26" w:name="_Toc479176693"/>
      <w:bookmarkStart w:id="27" w:name="_Toc513221596"/>
      <w:r w:rsidRPr="000A3F70">
        <w:t>Part 1</w:t>
      </w:r>
      <w:bookmarkEnd w:id="25"/>
      <w:bookmarkEnd w:id="26"/>
      <w:bookmarkEnd w:id="27"/>
      <w:r w:rsidRPr="000A3F70">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472A27" w:rsidRPr="000A3F70" w:rsidTr="4B803086">
        <w:tc>
          <w:tcPr>
            <w:tcW w:w="3261"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Provider name</w:t>
            </w:r>
          </w:p>
        </w:tc>
        <w:tc>
          <w:tcPr>
            <w:tcW w:w="5811" w:type="dxa"/>
          </w:tcPr>
          <w:p w:rsidR="00472A27" w:rsidRPr="000A3F70" w:rsidRDefault="00B26047"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DBS</w:t>
            </w:r>
          </w:p>
        </w:tc>
      </w:tr>
      <w:tr w:rsidR="00472A27" w:rsidRPr="000A3F70" w:rsidTr="4B803086">
        <w:tc>
          <w:tcPr>
            <w:tcW w:w="3261"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Date of site visit</w:t>
            </w:r>
          </w:p>
        </w:tc>
        <w:tc>
          <w:tcPr>
            <w:tcW w:w="5811" w:type="dxa"/>
          </w:tcPr>
          <w:p w:rsidR="00472A27" w:rsidRPr="000A3F70" w:rsidRDefault="00B26047"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12</w:t>
            </w:r>
            <w:r w:rsidRPr="000A3F70">
              <w:rPr>
                <w:rFonts w:ascii="Calibri" w:eastAsia="Times New Roman" w:hAnsi="Calibri" w:cs="Times New Roman"/>
                <w:vertAlign w:val="superscript"/>
                <w:lang w:val="en-GB"/>
              </w:rPr>
              <w:t>th</w:t>
            </w:r>
            <w:r w:rsidRPr="000A3F70">
              <w:rPr>
                <w:rFonts w:ascii="Calibri" w:eastAsia="Times New Roman" w:hAnsi="Calibri" w:cs="Times New Roman"/>
                <w:lang w:val="en-GB"/>
              </w:rPr>
              <w:t xml:space="preserve"> April 2018</w:t>
            </w:r>
          </w:p>
        </w:tc>
      </w:tr>
      <w:tr w:rsidR="00472A27" w:rsidRPr="000A3F70" w:rsidTr="4B803086">
        <w:tc>
          <w:tcPr>
            <w:tcW w:w="3261"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Date of report</w:t>
            </w:r>
          </w:p>
        </w:tc>
        <w:tc>
          <w:tcPr>
            <w:tcW w:w="5811" w:type="dxa"/>
          </w:tcPr>
          <w:p w:rsidR="00472A27" w:rsidRPr="00CF298B" w:rsidRDefault="009C7C20" w:rsidP="001C0F0B">
            <w:pPr>
              <w:spacing w:after="0" w:line="240" w:lineRule="auto"/>
              <w:rPr>
                <w:rFonts w:ascii="Calibri" w:eastAsia="Times New Roman" w:hAnsi="Calibri" w:cs="Times New Roman"/>
                <w:szCs w:val="24"/>
                <w:lang w:val="en-GB"/>
              </w:rPr>
            </w:pPr>
            <w:r>
              <w:rPr>
                <w:rFonts w:ascii="Calibri" w:eastAsia="Times New Roman" w:hAnsi="Calibri" w:cs="Times New Roman"/>
                <w:szCs w:val="24"/>
                <w:lang w:val="en-GB"/>
              </w:rPr>
              <w:t>4</w:t>
            </w:r>
            <w:r w:rsidRPr="009C7C20">
              <w:rPr>
                <w:rFonts w:ascii="Calibri" w:eastAsia="Times New Roman" w:hAnsi="Calibri" w:cs="Times New Roman"/>
                <w:szCs w:val="24"/>
                <w:vertAlign w:val="superscript"/>
                <w:lang w:val="en-GB"/>
              </w:rPr>
              <w:t>th</w:t>
            </w:r>
            <w:r>
              <w:rPr>
                <w:rFonts w:ascii="Calibri" w:eastAsia="Times New Roman" w:hAnsi="Calibri" w:cs="Times New Roman"/>
                <w:szCs w:val="24"/>
                <w:lang w:val="en-GB"/>
              </w:rPr>
              <w:t xml:space="preserve"> May 2018</w:t>
            </w:r>
          </w:p>
        </w:tc>
      </w:tr>
      <w:tr w:rsidR="00472A27" w:rsidRPr="000A3F70" w:rsidTr="4B803086">
        <w:tc>
          <w:tcPr>
            <w:tcW w:w="3261"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5811" w:type="dxa"/>
          </w:tcPr>
          <w:p w:rsidR="00472A27" w:rsidRPr="000A3F70" w:rsidRDefault="00472A27" w:rsidP="001C0F0B">
            <w:pPr>
              <w:spacing w:after="0" w:line="240" w:lineRule="auto"/>
              <w:rPr>
                <w:rFonts w:ascii="Calibri" w:eastAsia="Times New Roman" w:hAnsi="Calibri" w:cs="Times New Roman"/>
                <w:szCs w:val="24"/>
                <w:lang w:val="en-GB"/>
              </w:rPr>
            </w:pPr>
          </w:p>
        </w:tc>
      </w:tr>
    </w:tbl>
    <w:p w:rsidR="00472A27" w:rsidRPr="000A3F70" w:rsidRDefault="00472A27" w:rsidP="00472A27">
      <w:pPr>
        <w:spacing w:after="0" w:line="240" w:lineRule="auto"/>
        <w:rPr>
          <w:rFonts w:ascii="Calibri" w:eastAsia="Times New Roman" w:hAnsi="Calibri" w:cs="Times New Roman"/>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089"/>
        <w:gridCol w:w="2722"/>
      </w:tblGrid>
      <w:tr w:rsidR="00472A27" w:rsidRPr="000A3F70" w:rsidTr="4B803086">
        <w:tc>
          <w:tcPr>
            <w:tcW w:w="3261" w:type="dxa"/>
            <w:shd w:val="clear" w:color="auto" w:fill="DEEAF6" w:themeFill="accent1" w:themeFillTint="33"/>
          </w:tcPr>
          <w:p w:rsidR="00472A27" w:rsidRPr="000A3F70" w:rsidRDefault="00B2604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MA in Addiction Studies</w:t>
            </w:r>
          </w:p>
        </w:tc>
        <w:tc>
          <w:tcPr>
            <w:tcW w:w="3089"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First intake</w:t>
            </w:r>
            <w:r w:rsidR="002F69BD" w:rsidRPr="000A3F70">
              <w:rPr>
                <w:rFonts w:ascii="Calibri" w:eastAsia="Times New Roman" w:hAnsi="Calibri" w:cs="Times New Roman"/>
                <w:b/>
                <w:szCs w:val="24"/>
                <w:lang w:val="en-GB"/>
              </w:rPr>
              <w:t xml:space="preserve"> 2018</w:t>
            </w:r>
          </w:p>
        </w:tc>
        <w:tc>
          <w:tcPr>
            <w:tcW w:w="2722"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Last intake</w:t>
            </w:r>
            <w:r w:rsidR="002F69BD" w:rsidRPr="000A3F70">
              <w:rPr>
                <w:rFonts w:ascii="Calibri" w:eastAsia="Times New Roman" w:hAnsi="Calibri" w:cs="Times New Roman"/>
                <w:b/>
                <w:szCs w:val="24"/>
                <w:lang w:val="en-GB"/>
              </w:rPr>
              <w:t xml:space="preserve"> 2022</w:t>
            </w:r>
          </w:p>
        </w:tc>
      </w:tr>
      <w:tr w:rsidR="00472A27" w:rsidRPr="000A3F70" w:rsidTr="4B803086">
        <w:tc>
          <w:tcPr>
            <w:tcW w:w="3261"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Enrolment interval </w:t>
            </w:r>
          </w:p>
        </w:tc>
        <w:tc>
          <w:tcPr>
            <w:tcW w:w="3089" w:type="dxa"/>
          </w:tcPr>
          <w:p w:rsidR="00472A27" w:rsidRPr="000A3F70" w:rsidRDefault="002F69BD"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September</w:t>
            </w:r>
          </w:p>
        </w:tc>
        <w:tc>
          <w:tcPr>
            <w:tcW w:w="2722" w:type="dxa"/>
            <w:shd w:val="clear" w:color="auto" w:fill="auto"/>
          </w:tcPr>
          <w:p w:rsidR="00472A27" w:rsidRPr="000A3F70" w:rsidRDefault="002F69BD"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January</w:t>
            </w:r>
          </w:p>
        </w:tc>
      </w:tr>
      <w:tr w:rsidR="00472A27" w:rsidRPr="000A3F70" w:rsidTr="4B803086">
        <w:tc>
          <w:tcPr>
            <w:tcW w:w="3261"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Maximum number of annual intakes</w:t>
            </w:r>
          </w:p>
        </w:tc>
        <w:tc>
          <w:tcPr>
            <w:tcW w:w="5811" w:type="dxa"/>
            <w:gridSpan w:val="2"/>
          </w:tcPr>
          <w:p w:rsidR="00472A27" w:rsidRPr="000A3F70" w:rsidRDefault="002F69BD"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Two per year</w:t>
            </w:r>
          </w:p>
        </w:tc>
      </w:tr>
    </w:tbl>
    <w:p w:rsidR="00472A27" w:rsidRPr="000A3F70" w:rsidRDefault="00472A27" w:rsidP="00472A27">
      <w:pPr>
        <w:spacing w:after="0" w:line="240" w:lineRule="auto"/>
        <w:rPr>
          <w:rFonts w:ascii="Calibri" w:eastAsia="Times New Roman" w:hAnsi="Calibri" w:cs="Times New Roman"/>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841"/>
        <w:gridCol w:w="5798"/>
      </w:tblGrid>
      <w:tr w:rsidR="00472A27" w:rsidRPr="000A3F70" w:rsidTr="4B803086">
        <w:tc>
          <w:tcPr>
            <w:tcW w:w="1433"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Principal programme </w:t>
            </w:r>
          </w:p>
        </w:tc>
        <w:tc>
          <w:tcPr>
            <w:tcW w:w="1841" w:type="dxa"/>
            <w:shd w:val="clear" w:color="auto" w:fill="DEEAF6" w:themeFill="accent1" w:themeFillTint="33"/>
          </w:tcPr>
          <w:p w:rsidR="00472A27" w:rsidRPr="000A3F70" w:rsidRDefault="00472A27" w:rsidP="001C0F0B">
            <w:pPr>
              <w:spacing w:after="0" w:line="240" w:lineRule="auto"/>
              <w:rPr>
                <w:rFonts w:ascii="Calibri" w:eastAsia="Times New Roman" w:hAnsi="Calibri" w:cs="Arial"/>
              </w:rPr>
            </w:pPr>
            <w:r w:rsidRPr="000A3F70">
              <w:rPr>
                <w:rFonts w:ascii="Calibri" w:eastAsia="Times New Roman" w:hAnsi="Calibri" w:cs="Times New Roman"/>
                <w:b/>
                <w:szCs w:val="24"/>
                <w:lang w:val="en-GB"/>
              </w:rPr>
              <w:t>Title</w:t>
            </w:r>
          </w:p>
        </w:tc>
        <w:tc>
          <w:tcPr>
            <w:tcW w:w="5798" w:type="dxa"/>
            <w:shd w:val="clear" w:color="auto" w:fill="auto"/>
          </w:tcPr>
          <w:p w:rsidR="00472A27" w:rsidRPr="000A3F70" w:rsidRDefault="002F69BD" w:rsidP="4B803086">
            <w:pPr>
              <w:spacing w:after="0" w:line="240" w:lineRule="auto"/>
              <w:rPr>
                <w:rFonts w:ascii="Calibri" w:eastAsia="Times New Roman" w:hAnsi="Calibri" w:cs="Arial"/>
              </w:rPr>
            </w:pPr>
            <w:r w:rsidRPr="000A3F70">
              <w:rPr>
                <w:rFonts w:ascii="Calibri" w:eastAsia="Times New Roman" w:hAnsi="Calibri" w:cs="Arial"/>
              </w:rPr>
              <w:t>MA in Addiction Studies</w:t>
            </w:r>
          </w:p>
        </w:tc>
      </w:tr>
      <w:tr w:rsidR="00472A27" w:rsidRPr="000A3F70" w:rsidTr="4B803086">
        <w:tc>
          <w:tcPr>
            <w:tcW w:w="1433"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shd w:val="clear" w:color="auto" w:fill="DEEAF6" w:themeFill="accent1" w:themeFillTint="33"/>
          </w:tcPr>
          <w:p w:rsidR="00472A27" w:rsidRPr="000A3F70" w:rsidRDefault="00472A27" w:rsidP="001C0F0B">
            <w:pPr>
              <w:spacing w:after="0" w:line="240" w:lineRule="auto"/>
              <w:rPr>
                <w:rFonts w:ascii="Calibri" w:eastAsia="Times New Roman" w:hAnsi="Calibri" w:cs="Arial"/>
              </w:rPr>
            </w:pPr>
            <w:r w:rsidRPr="000A3F70">
              <w:rPr>
                <w:rFonts w:ascii="Calibri" w:eastAsia="Times New Roman" w:hAnsi="Calibri" w:cs="Times New Roman"/>
                <w:b/>
                <w:szCs w:val="24"/>
                <w:lang w:val="en-GB"/>
              </w:rPr>
              <w:t>Award</w:t>
            </w:r>
          </w:p>
        </w:tc>
        <w:tc>
          <w:tcPr>
            <w:tcW w:w="5798" w:type="dxa"/>
            <w:shd w:val="clear" w:color="auto" w:fill="auto"/>
          </w:tcPr>
          <w:p w:rsidR="00472A27" w:rsidRPr="000A3F70" w:rsidRDefault="002F69BD" w:rsidP="4B803086">
            <w:pPr>
              <w:spacing w:after="0" w:line="240" w:lineRule="auto"/>
              <w:rPr>
                <w:rFonts w:ascii="Calibri" w:eastAsia="Times New Roman" w:hAnsi="Calibri" w:cs="Arial"/>
              </w:rPr>
            </w:pPr>
            <w:r w:rsidRPr="000A3F70">
              <w:rPr>
                <w:rFonts w:ascii="Calibri" w:eastAsia="Times New Roman" w:hAnsi="Calibri" w:cs="Arial"/>
              </w:rPr>
              <w:t>MA in Arts</w:t>
            </w:r>
          </w:p>
        </w:tc>
      </w:tr>
      <w:tr w:rsidR="00472A27" w:rsidRPr="000A3F70" w:rsidTr="4B803086">
        <w:tc>
          <w:tcPr>
            <w:tcW w:w="1433"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Credit</w:t>
            </w:r>
          </w:p>
        </w:tc>
        <w:tc>
          <w:tcPr>
            <w:tcW w:w="5798" w:type="dxa"/>
            <w:shd w:val="clear" w:color="auto" w:fill="auto"/>
          </w:tcPr>
          <w:p w:rsidR="00472A27" w:rsidRPr="000A3F70" w:rsidRDefault="002F69BD" w:rsidP="4B803086">
            <w:pPr>
              <w:spacing w:after="0" w:line="240" w:lineRule="auto"/>
              <w:rPr>
                <w:rFonts w:ascii="Calibri" w:eastAsia="Times New Roman" w:hAnsi="Calibri" w:cs="Arial"/>
              </w:rPr>
            </w:pPr>
            <w:r w:rsidRPr="000A3F70">
              <w:rPr>
                <w:rFonts w:ascii="Calibri" w:eastAsia="Times New Roman" w:hAnsi="Calibri" w:cs="Arial"/>
              </w:rPr>
              <w:t>90  ECTS</w:t>
            </w:r>
          </w:p>
        </w:tc>
      </w:tr>
      <w:tr w:rsidR="00472A27" w:rsidRPr="000A3F70" w:rsidTr="4B803086">
        <w:tc>
          <w:tcPr>
            <w:tcW w:w="1433" w:type="dxa"/>
            <w:tcBorders>
              <w:bottom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tcBorders>
              <w:bottom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Duration</w:t>
            </w:r>
            <w:r w:rsidRPr="000A3F70">
              <w:rPr>
                <w:rStyle w:val="FootnoteReference"/>
                <w:rFonts w:ascii="Calibri" w:eastAsia="Times New Roman" w:hAnsi="Calibri" w:cs="Times New Roman"/>
                <w:b/>
                <w:szCs w:val="24"/>
                <w:lang w:val="en-GB"/>
              </w:rPr>
              <w:footnoteReference w:id="3"/>
            </w:r>
            <w:r w:rsidRPr="000A3F70">
              <w:rPr>
                <w:rFonts w:ascii="Calibri" w:eastAsia="Times New Roman" w:hAnsi="Calibri" w:cs="Times New Roman"/>
                <w:b/>
                <w:szCs w:val="24"/>
                <w:lang w:val="en-GB"/>
              </w:rPr>
              <w:t xml:space="preserve"> </w:t>
            </w:r>
          </w:p>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i/>
                <w:sz w:val="16"/>
                <w:szCs w:val="16"/>
                <w:lang w:val="en-GB"/>
              </w:rPr>
              <w:t>(years, months, weeks)</w:t>
            </w:r>
          </w:p>
        </w:tc>
        <w:tc>
          <w:tcPr>
            <w:tcW w:w="5798" w:type="dxa"/>
            <w:tcBorders>
              <w:bottom w:val="single" w:sz="4" w:space="0" w:color="auto"/>
            </w:tcBorders>
            <w:shd w:val="clear" w:color="auto" w:fill="auto"/>
          </w:tcPr>
          <w:p w:rsidR="00472A27" w:rsidRPr="000A3F70" w:rsidRDefault="002F69BD" w:rsidP="00CF298B">
            <w:pPr>
              <w:spacing w:after="0" w:line="240" w:lineRule="auto"/>
              <w:rPr>
                <w:rFonts w:ascii="Calibri" w:eastAsia="Times New Roman" w:hAnsi="Calibri" w:cs="Arial"/>
              </w:rPr>
            </w:pPr>
            <w:r w:rsidRPr="000A3F70">
              <w:rPr>
                <w:rFonts w:ascii="Calibri" w:eastAsia="Times New Roman" w:hAnsi="Calibri" w:cs="Arial"/>
              </w:rPr>
              <w:t>1 year (3 semesters) full time;2 years (5 semesters) part-</w:t>
            </w:r>
            <w:r w:rsidR="00CF298B">
              <w:rPr>
                <w:rFonts w:ascii="Calibri" w:eastAsia="Times New Roman" w:hAnsi="Calibri" w:cs="Arial"/>
              </w:rPr>
              <w:t>time</w:t>
            </w:r>
          </w:p>
        </w:tc>
      </w:tr>
      <w:tr w:rsidR="00472A27" w:rsidRPr="000A3F70" w:rsidTr="4B803086">
        <w:tc>
          <w:tcPr>
            <w:tcW w:w="1433" w:type="dxa"/>
            <w:tcBorders>
              <w:bottom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tcBorders>
              <w:bottom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Recommendation</w:t>
            </w:r>
          </w:p>
          <w:p w:rsidR="00472A27" w:rsidRPr="00D86505" w:rsidRDefault="00472A27" w:rsidP="006D0562">
            <w:pPr>
              <w:spacing w:after="0" w:line="240" w:lineRule="auto"/>
              <w:rPr>
                <w:rFonts w:ascii="Calibri" w:eastAsia="Times New Roman" w:hAnsi="Calibri" w:cs="Times New Roman"/>
                <w:i/>
                <w:sz w:val="16"/>
                <w:szCs w:val="16"/>
                <w:lang w:val="en-GB"/>
              </w:rPr>
            </w:pPr>
            <w:r w:rsidRPr="00D86505">
              <w:rPr>
                <w:rFonts w:ascii="Calibri" w:eastAsia="Times New Roman" w:hAnsi="Calibri" w:cs="Times New Roman"/>
                <w:i/>
                <w:sz w:val="16"/>
                <w:szCs w:val="16"/>
                <w:lang w:val="en-GB"/>
              </w:rPr>
              <w:t xml:space="preserve">Satisfactory </w:t>
            </w:r>
          </w:p>
          <w:p w:rsidR="006D0562" w:rsidRPr="000A3F70" w:rsidRDefault="006D0562" w:rsidP="006D0562">
            <w:pPr>
              <w:spacing w:after="0" w:line="240" w:lineRule="auto"/>
              <w:rPr>
                <w:rFonts w:ascii="Calibri" w:eastAsia="Times New Roman" w:hAnsi="Calibri" w:cs="Times New Roman"/>
                <w:b/>
                <w:szCs w:val="24"/>
                <w:lang w:val="en-GB"/>
              </w:rPr>
            </w:pPr>
          </w:p>
        </w:tc>
        <w:tc>
          <w:tcPr>
            <w:tcW w:w="5798" w:type="dxa"/>
            <w:tcBorders>
              <w:bottom w:val="single" w:sz="4" w:space="0" w:color="auto"/>
            </w:tcBorders>
            <w:shd w:val="clear" w:color="auto" w:fill="auto"/>
          </w:tcPr>
          <w:p w:rsidR="00472A27" w:rsidRPr="000A3F70" w:rsidRDefault="00472A27" w:rsidP="001C0F0B">
            <w:pPr>
              <w:spacing w:after="0" w:line="240" w:lineRule="auto"/>
              <w:rPr>
                <w:rFonts w:ascii="Calibri" w:eastAsia="Times New Roman" w:hAnsi="Calibri" w:cs="Arial"/>
              </w:rPr>
            </w:pPr>
          </w:p>
        </w:tc>
      </w:tr>
      <w:tr w:rsidR="00472A27" w:rsidRPr="000A3F70" w:rsidTr="4B803086">
        <w:tc>
          <w:tcPr>
            <w:tcW w:w="1433" w:type="dxa"/>
            <w:tcBorders>
              <w:top w:val="single" w:sz="4" w:space="0" w:color="auto"/>
              <w:left w:val="nil"/>
              <w:bottom w:val="single" w:sz="4" w:space="0" w:color="auto"/>
              <w:right w:val="nil"/>
            </w:tcBorders>
            <w:shd w:val="clear" w:color="auto" w:fill="FFFFFF" w:themeFill="background1"/>
          </w:tcPr>
          <w:p w:rsidR="002F69BD" w:rsidRPr="000A3F70" w:rsidRDefault="002F69BD" w:rsidP="001C0F0B">
            <w:pPr>
              <w:spacing w:after="0" w:line="240" w:lineRule="auto"/>
              <w:rPr>
                <w:rFonts w:ascii="Calibri" w:eastAsia="Times New Roman" w:hAnsi="Calibri" w:cs="Times New Roman"/>
                <w:b/>
                <w:szCs w:val="24"/>
                <w:lang w:val="en-GB"/>
              </w:rPr>
            </w:pPr>
          </w:p>
          <w:p w:rsidR="002F69BD" w:rsidRPr="000A3F70" w:rsidRDefault="002F69BD" w:rsidP="001C0F0B">
            <w:pPr>
              <w:spacing w:after="0" w:line="240" w:lineRule="auto"/>
              <w:rPr>
                <w:rFonts w:ascii="Calibri" w:eastAsia="Times New Roman" w:hAnsi="Calibri" w:cs="Times New Roman"/>
                <w:b/>
                <w:szCs w:val="24"/>
                <w:lang w:val="en-GB"/>
              </w:rPr>
            </w:pPr>
          </w:p>
        </w:tc>
        <w:tc>
          <w:tcPr>
            <w:tcW w:w="1841" w:type="dxa"/>
            <w:tcBorders>
              <w:top w:val="single" w:sz="4" w:space="0" w:color="auto"/>
              <w:left w:val="nil"/>
              <w:bottom w:val="single" w:sz="4" w:space="0" w:color="auto"/>
              <w:right w:val="nil"/>
            </w:tcBorders>
            <w:shd w:val="clear" w:color="auto" w:fill="FFFFFF" w:themeFill="background1"/>
          </w:tcPr>
          <w:p w:rsidR="00472A27" w:rsidRPr="000A3F70" w:rsidRDefault="00472A27" w:rsidP="001C0F0B">
            <w:pPr>
              <w:spacing w:after="0" w:line="240" w:lineRule="auto"/>
              <w:rPr>
                <w:rFonts w:ascii="Calibri" w:eastAsia="Times New Roman" w:hAnsi="Calibri" w:cs="Times New Roman"/>
                <w:b/>
                <w:szCs w:val="24"/>
                <w:lang w:val="en-GB"/>
              </w:rPr>
            </w:pPr>
          </w:p>
        </w:tc>
        <w:tc>
          <w:tcPr>
            <w:tcW w:w="5798" w:type="dxa"/>
            <w:tcBorders>
              <w:top w:val="single" w:sz="4" w:space="0" w:color="auto"/>
              <w:left w:val="nil"/>
              <w:bottom w:val="single" w:sz="4" w:space="0" w:color="auto"/>
              <w:right w:val="nil"/>
            </w:tcBorders>
            <w:shd w:val="clear" w:color="auto" w:fill="FFFFFF" w:themeFill="background1"/>
          </w:tcPr>
          <w:p w:rsidR="00472A27" w:rsidRPr="000A3F70" w:rsidRDefault="00472A27" w:rsidP="001C0F0B">
            <w:pPr>
              <w:spacing w:after="0" w:line="240" w:lineRule="auto"/>
              <w:rPr>
                <w:rFonts w:ascii="Calibri" w:eastAsia="Times New Roman" w:hAnsi="Calibri" w:cs="Arial"/>
              </w:rPr>
            </w:pPr>
          </w:p>
        </w:tc>
      </w:tr>
      <w:tr w:rsidR="00472A27" w:rsidRPr="000A3F70" w:rsidTr="4B803086">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Embedded programme </w:t>
            </w: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Title</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472A27" w:rsidRPr="000A3F70" w:rsidRDefault="002F69BD" w:rsidP="001C0F0B">
            <w:pPr>
              <w:spacing w:after="0" w:line="240" w:lineRule="auto"/>
              <w:rPr>
                <w:rFonts w:ascii="Calibri" w:eastAsia="Times New Roman" w:hAnsi="Calibri" w:cs="Arial"/>
              </w:rPr>
            </w:pPr>
            <w:r w:rsidRPr="000A3F70">
              <w:rPr>
                <w:rFonts w:ascii="Calibri" w:eastAsia="Times New Roman" w:hAnsi="Calibri" w:cs="Arial"/>
              </w:rPr>
              <w:t>Postgraduate Diploma in Arts in Addiction Studies</w:t>
            </w:r>
          </w:p>
        </w:tc>
      </w:tr>
      <w:tr w:rsidR="00472A27" w:rsidRPr="000A3F70" w:rsidTr="4B803086">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Award</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472A27" w:rsidRPr="000A3F70" w:rsidRDefault="002F69BD" w:rsidP="001C0F0B">
            <w:pPr>
              <w:spacing w:after="0" w:line="240" w:lineRule="auto"/>
              <w:rPr>
                <w:rFonts w:ascii="Calibri" w:eastAsia="Times New Roman" w:hAnsi="Calibri" w:cs="Arial"/>
              </w:rPr>
            </w:pPr>
            <w:r w:rsidRPr="000A3F70">
              <w:rPr>
                <w:rFonts w:ascii="Calibri" w:eastAsia="Times New Roman" w:hAnsi="Calibri" w:cs="Arial"/>
              </w:rPr>
              <w:t>Postgraduate Diploma in Arts</w:t>
            </w:r>
          </w:p>
        </w:tc>
      </w:tr>
      <w:tr w:rsidR="00472A27" w:rsidRPr="000A3F70" w:rsidTr="4B803086">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Credit</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472A27" w:rsidRPr="000A3F70" w:rsidRDefault="002F69BD" w:rsidP="001C0F0B">
            <w:pPr>
              <w:spacing w:after="0" w:line="240" w:lineRule="auto"/>
              <w:rPr>
                <w:rFonts w:ascii="Calibri" w:eastAsia="Times New Roman" w:hAnsi="Calibri" w:cs="Arial"/>
              </w:rPr>
            </w:pPr>
            <w:r w:rsidRPr="000A3F70">
              <w:rPr>
                <w:rFonts w:ascii="Calibri" w:eastAsia="Times New Roman" w:hAnsi="Calibri" w:cs="Arial"/>
              </w:rPr>
              <w:t>60 ECTS</w:t>
            </w:r>
          </w:p>
        </w:tc>
      </w:tr>
      <w:tr w:rsidR="00472A27" w:rsidRPr="000A3F70" w:rsidTr="4B803086">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Duration </w:t>
            </w:r>
          </w:p>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(years, months, weeks)</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472A27" w:rsidRPr="000A3F70" w:rsidRDefault="002F69BD" w:rsidP="001C0F0B">
            <w:pPr>
              <w:spacing w:after="0" w:line="240" w:lineRule="auto"/>
              <w:rPr>
                <w:rFonts w:ascii="Calibri" w:eastAsia="Times New Roman" w:hAnsi="Calibri" w:cs="Arial"/>
              </w:rPr>
            </w:pPr>
            <w:r w:rsidRPr="000A3F70">
              <w:rPr>
                <w:rFonts w:ascii="Calibri" w:eastAsia="Times New Roman" w:hAnsi="Calibri" w:cs="Arial"/>
              </w:rPr>
              <w:t>3 semesters full-time; 5 semesters part-time</w:t>
            </w:r>
          </w:p>
        </w:tc>
      </w:tr>
      <w:tr w:rsidR="00472A27" w:rsidRPr="000A3F70" w:rsidTr="4B803086">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FC49AE" w:rsidRDefault="00472A27" w:rsidP="001C0F0B">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FC49AE" w:rsidRDefault="00472A27" w:rsidP="001C0F0B">
            <w:pPr>
              <w:spacing w:after="0" w:line="240" w:lineRule="auto"/>
              <w:rPr>
                <w:rFonts w:ascii="Calibri" w:eastAsia="Times New Roman" w:hAnsi="Calibri" w:cs="Times New Roman"/>
                <w:b/>
                <w:szCs w:val="24"/>
                <w:lang w:val="en-GB"/>
              </w:rPr>
            </w:pPr>
            <w:r w:rsidRPr="00FC49AE">
              <w:rPr>
                <w:rFonts w:ascii="Calibri" w:eastAsia="Times New Roman" w:hAnsi="Calibri" w:cs="Times New Roman"/>
                <w:b/>
                <w:szCs w:val="24"/>
                <w:lang w:val="en-GB"/>
              </w:rPr>
              <w:t>Recommendation</w:t>
            </w:r>
          </w:p>
          <w:p w:rsidR="00472A27" w:rsidRPr="00FC49AE" w:rsidRDefault="00472A27" w:rsidP="001C0F0B">
            <w:pPr>
              <w:spacing w:after="0" w:line="240" w:lineRule="auto"/>
              <w:rPr>
                <w:rFonts w:ascii="Calibri" w:eastAsia="Times New Roman" w:hAnsi="Calibri" w:cs="Times New Roman"/>
                <w:b/>
                <w:szCs w:val="24"/>
                <w:lang w:val="en-GB"/>
              </w:rPr>
            </w:pPr>
            <w:r w:rsidRPr="00FC49AE">
              <w:rPr>
                <w:rFonts w:ascii="Calibri" w:eastAsia="Times New Roman" w:hAnsi="Calibri" w:cs="Times New Roman"/>
                <w:b/>
                <w:szCs w:val="24"/>
                <w:lang w:val="en-GB"/>
              </w:rPr>
              <w:t xml:space="preserve">Satisfactory </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472A27" w:rsidRPr="000A3F70" w:rsidRDefault="00472A27" w:rsidP="001C0F0B">
            <w:pPr>
              <w:spacing w:after="0" w:line="240" w:lineRule="auto"/>
              <w:rPr>
                <w:rFonts w:ascii="Calibri" w:eastAsia="Times New Roman" w:hAnsi="Calibri" w:cs="Arial"/>
              </w:rPr>
            </w:pPr>
          </w:p>
        </w:tc>
      </w:tr>
      <w:tr w:rsidR="000A3F70" w:rsidRPr="000A3F70" w:rsidTr="00160319">
        <w:trPr>
          <w:trHeight w:val="601"/>
        </w:trPr>
        <w:tc>
          <w:tcPr>
            <w:tcW w:w="1433" w:type="dxa"/>
            <w:tcBorders>
              <w:top w:val="single" w:sz="4" w:space="0" w:color="auto"/>
              <w:left w:val="nil"/>
              <w:bottom w:val="single" w:sz="4" w:space="0" w:color="auto"/>
              <w:right w:val="nil"/>
            </w:tcBorders>
            <w:shd w:val="clear" w:color="auto" w:fill="FFFFFF" w:themeFill="background1"/>
          </w:tcPr>
          <w:p w:rsidR="002F69BD" w:rsidRPr="000A3F70" w:rsidRDefault="002F69BD" w:rsidP="001C0F0B">
            <w:pPr>
              <w:spacing w:after="0" w:line="240" w:lineRule="auto"/>
              <w:rPr>
                <w:rFonts w:ascii="Calibri" w:eastAsia="Times New Roman" w:hAnsi="Calibri" w:cs="Times New Roman"/>
                <w:b/>
                <w:szCs w:val="24"/>
                <w:lang w:val="en-GB"/>
              </w:rPr>
            </w:pPr>
          </w:p>
          <w:p w:rsidR="002F69BD" w:rsidRPr="000A3F70" w:rsidRDefault="002F69BD" w:rsidP="001C0F0B">
            <w:pPr>
              <w:spacing w:after="0" w:line="240" w:lineRule="auto"/>
              <w:rPr>
                <w:rFonts w:ascii="Calibri" w:eastAsia="Times New Roman" w:hAnsi="Calibri" w:cs="Times New Roman"/>
                <w:b/>
                <w:szCs w:val="24"/>
                <w:lang w:val="en-GB"/>
              </w:rPr>
            </w:pPr>
          </w:p>
        </w:tc>
        <w:tc>
          <w:tcPr>
            <w:tcW w:w="1841" w:type="dxa"/>
            <w:tcBorders>
              <w:top w:val="single" w:sz="4" w:space="0" w:color="auto"/>
              <w:left w:val="nil"/>
              <w:bottom w:val="single" w:sz="4" w:space="0" w:color="auto"/>
              <w:right w:val="nil"/>
            </w:tcBorders>
            <w:shd w:val="clear" w:color="auto" w:fill="FFFFFF" w:themeFill="background1"/>
          </w:tcPr>
          <w:p w:rsidR="00472A27" w:rsidRPr="000A3F70" w:rsidRDefault="00472A27" w:rsidP="001C0F0B">
            <w:pPr>
              <w:spacing w:after="0" w:line="240" w:lineRule="auto"/>
              <w:rPr>
                <w:rFonts w:ascii="Calibri" w:eastAsia="Times New Roman" w:hAnsi="Calibri" w:cs="Times New Roman"/>
                <w:b/>
                <w:szCs w:val="24"/>
                <w:lang w:val="en-GB"/>
              </w:rPr>
            </w:pPr>
          </w:p>
        </w:tc>
        <w:tc>
          <w:tcPr>
            <w:tcW w:w="5798" w:type="dxa"/>
            <w:tcBorders>
              <w:top w:val="single" w:sz="4" w:space="0" w:color="auto"/>
              <w:left w:val="nil"/>
              <w:bottom w:val="single" w:sz="4" w:space="0" w:color="auto"/>
              <w:right w:val="nil"/>
            </w:tcBorders>
            <w:shd w:val="clear" w:color="auto" w:fill="FFFFFF" w:themeFill="background1"/>
          </w:tcPr>
          <w:p w:rsidR="00472A27" w:rsidRPr="000A3F70" w:rsidRDefault="00472A27" w:rsidP="001C0F0B">
            <w:pPr>
              <w:spacing w:after="0" w:line="240" w:lineRule="auto"/>
              <w:rPr>
                <w:rFonts w:ascii="Calibri" w:eastAsia="Times New Roman" w:hAnsi="Calibri" w:cs="Arial"/>
              </w:rPr>
            </w:pPr>
          </w:p>
        </w:tc>
      </w:tr>
      <w:tr w:rsidR="00472A27" w:rsidRPr="000A3F70" w:rsidTr="4B803086">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Module</w:t>
            </w:r>
            <w:r w:rsidRPr="000A3F70">
              <w:rPr>
                <w:rStyle w:val="FootnoteReference"/>
                <w:rFonts w:ascii="Calibri" w:eastAsia="Times New Roman" w:hAnsi="Calibri" w:cs="Times New Roman"/>
                <w:b/>
                <w:szCs w:val="24"/>
                <w:lang w:val="en-GB"/>
              </w:rPr>
              <w:footnoteReference w:id="4"/>
            </w:r>
            <w:r w:rsidRPr="000A3F70">
              <w:rPr>
                <w:rFonts w:ascii="Calibri" w:eastAsia="Times New Roman" w:hAnsi="Calibri" w:cs="Times New Roman"/>
                <w:b/>
                <w:szCs w:val="24"/>
                <w:lang w:val="en-GB"/>
              </w:rPr>
              <w:t xml:space="preserve"> </w:t>
            </w: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Title</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472A27" w:rsidRPr="000A3F70" w:rsidRDefault="00472A27" w:rsidP="001C0F0B">
            <w:pPr>
              <w:spacing w:after="0" w:line="240" w:lineRule="auto"/>
              <w:rPr>
                <w:rFonts w:ascii="Calibri" w:eastAsia="Times New Roman" w:hAnsi="Calibri" w:cs="Arial"/>
              </w:rPr>
            </w:pPr>
            <w:r w:rsidRPr="000A3F70">
              <w:rPr>
                <w:rFonts w:ascii="Calibri" w:eastAsia="Times New Roman" w:hAnsi="Calibri" w:cs="Arial"/>
              </w:rPr>
              <w:t>N/A</w:t>
            </w:r>
          </w:p>
        </w:tc>
      </w:tr>
      <w:tr w:rsidR="00472A27" w:rsidRPr="000A3F70" w:rsidTr="4B803086">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Award</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472A27" w:rsidRPr="000A3F70" w:rsidRDefault="00472A27" w:rsidP="001C0F0B">
            <w:pPr>
              <w:spacing w:after="0" w:line="240" w:lineRule="auto"/>
              <w:rPr>
                <w:rFonts w:ascii="Calibri" w:eastAsia="Times New Roman" w:hAnsi="Calibri" w:cs="Arial"/>
              </w:rPr>
            </w:pPr>
          </w:p>
        </w:tc>
      </w:tr>
      <w:tr w:rsidR="00472A27" w:rsidRPr="000A3F70" w:rsidTr="4B803086">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Credit</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472A27" w:rsidRPr="000A3F70" w:rsidRDefault="00472A27" w:rsidP="001C0F0B">
            <w:pPr>
              <w:spacing w:after="0" w:line="240" w:lineRule="auto"/>
              <w:rPr>
                <w:rFonts w:ascii="Calibri" w:eastAsia="Times New Roman" w:hAnsi="Calibri" w:cs="Arial"/>
              </w:rPr>
            </w:pPr>
          </w:p>
        </w:tc>
      </w:tr>
      <w:tr w:rsidR="00472A27" w:rsidRPr="000A3F70" w:rsidTr="4B803086">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Duration </w:t>
            </w:r>
          </w:p>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(years, months, weeks)</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472A27" w:rsidRPr="000A3F70" w:rsidRDefault="00472A27" w:rsidP="001C0F0B">
            <w:pPr>
              <w:spacing w:after="0" w:line="240" w:lineRule="auto"/>
              <w:rPr>
                <w:rFonts w:ascii="Calibri" w:eastAsia="Times New Roman" w:hAnsi="Calibri" w:cs="Arial"/>
              </w:rPr>
            </w:pPr>
          </w:p>
        </w:tc>
      </w:tr>
      <w:tr w:rsidR="00472A27" w:rsidRPr="000A3F70" w:rsidTr="4B803086">
        <w:tc>
          <w:tcPr>
            <w:tcW w:w="143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p>
        </w:tc>
        <w:tc>
          <w:tcPr>
            <w:tcW w:w="18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Recommendation</w:t>
            </w:r>
          </w:p>
          <w:p w:rsidR="00472A27" w:rsidRPr="006D0562" w:rsidRDefault="00472A27" w:rsidP="001C0F0B">
            <w:pPr>
              <w:spacing w:after="0" w:line="240" w:lineRule="auto"/>
              <w:rPr>
                <w:rFonts w:ascii="Calibri" w:eastAsia="Times New Roman" w:hAnsi="Calibri" w:cs="Times New Roman"/>
                <w:b/>
                <w:color w:val="C00000"/>
                <w:szCs w:val="24"/>
                <w:lang w:val="en-GB"/>
              </w:rPr>
            </w:pPr>
          </w:p>
          <w:p w:rsidR="006D0562" w:rsidRPr="000A3F70" w:rsidRDefault="006D0562" w:rsidP="001C0F0B">
            <w:pPr>
              <w:spacing w:after="0" w:line="240" w:lineRule="auto"/>
              <w:rPr>
                <w:rFonts w:ascii="Calibri" w:eastAsia="Times New Roman" w:hAnsi="Calibri" w:cs="Times New Roman"/>
                <w:b/>
                <w:szCs w:val="24"/>
                <w:lang w:val="en-GB"/>
              </w:rPr>
            </w:pP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472A27" w:rsidRPr="000A3F70" w:rsidRDefault="00472A27" w:rsidP="001C0F0B">
            <w:pPr>
              <w:spacing w:after="0" w:line="240" w:lineRule="auto"/>
              <w:rPr>
                <w:rFonts w:ascii="Calibri" w:eastAsia="Times New Roman" w:hAnsi="Calibri" w:cs="Arial"/>
              </w:rPr>
            </w:pPr>
          </w:p>
        </w:tc>
      </w:tr>
    </w:tbl>
    <w:p w:rsidR="00472A27" w:rsidRDefault="00472A27" w:rsidP="00472A27">
      <w:pPr>
        <w:spacing w:after="0" w:line="240" w:lineRule="auto"/>
        <w:rPr>
          <w:rFonts w:ascii="Calibri" w:eastAsia="Times New Roman" w:hAnsi="Calibri" w:cs="Times New Roman"/>
          <w:szCs w:val="24"/>
          <w:lang w:val="en-GB"/>
        </w:rPr>
      </w:pPr>
    </w:p>
    <w:p w:rsidR="006D0562" w:rsidRPr="000A3F70" w:rsidRDefault="006D0562" w:rsidP="00472A27">
      <w:pPr>
        <w:spacing w:after="0" w:line="240" w:lineRule="auto"/>
        <w:rPr>
          <w:rFonts w:ascii="Calibri" w:eastAsia="Times New Roman" w:hAnsi="Calibri" w:cs="Times New Roman"/>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089"/>
        <w:gridCol w:w="2722"/>
      </w:tblGrid>
      <w:tr w:rsidR="002F69BD" w:rsidRPr="000A3F70" w:rsidTr="001F41E1">
        <w:tc>
          <w:tcPr>
            <w:tcW w:w="3261" w:type="dxa"/>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MA in Psychoanalytic Psychotherapy</w:t>
            </w:r>
          </w:p>
        </w:tc>
        <w:tc>
          <w:tcPr>
            <w:tcW w:w="3089" w:type="dxa"/>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First intake 2018</w:t>
            </w:r>
          </w:p>
        </w:tc>
        <w:tc>
          <w:tcPr>
            <w:tcW w:w="2722" w:type="dxa"/>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Last intake 2022</w:t>
            </w:r>
          </w:p>
        </w:tc>
      </w:tr>
      <w:tr w:rsidR="002F69BD" w:rsidRPr="000A3F70" w:rsidTr="001F41E1">
        <w:tc>
          <w:tcPr>
            <w:tcW w:w="3261" w:type="dxa"/>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Enrolment interval </w:t>
            </w:r>
          </w:p>
        </w:tc>
        <w:tc>
          <w:tcPr>
            <w:tcW w:w="3089" w:type="dxa"/>
          </w:tcPr>
          <w:p w:rsidR="002F69BD" w:rsidRPr="000A3F70" w:rsidRDefault="002F69BD"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September</w:t>
            </w:r>
          </w:p>
        </w:tc>
        <w:tc>
          <w:tcPr>
            <w:tcW w:w="2722" w:type="dxa"/>
            <w:shd w:val="clear" w:color="auto" w:fill="auto"/>
          </w:tcPr>
          <w:p w:rsidR="002F69BD" w:rsidRPr="000A3F70" w:rsidRDefault="002F69BD"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January</w:t>
            </w:r>
          </w:p>
        </w:tc>
      </w:tr>
      <w:tr w:rsidR="002F69BD" w:rsidRPr="000A3F70" w:rsidTr="001F41E1">
        <w:tc>
          <w:tcPr>
            <w:tcW w:w="3261" w:type="dxa"/>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Maximum number of annual intakes</w:t>
            </w:r>
          </w:p>
        </w:tc>
        <w:tc>
          <w:tcPr>
            <w:tcW w:w="5811" w:type="dxa"/>
            <w:gridSpan w:val="2"/>
          </w:tcPr>
          <w:p w:rsidR="002F69BD"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One per year</w:t>
            </w:r>
          </w:p>
        </w:tc>
      </w:tr>
    </w:tbl>
    <w:p w:rsidR="002F69BD" w:rsidRPr="000A3F70" w:rsidRDefault="002F69BD" w:rsidP="00472A27">
      <w:pPr>
        <w:spacing w:after="0" w:line="240" w:lineRule="auto"/>
        <w:rPr>
          <w:rFonts w:ascii="Calibri" w:eastAsia="Times New Roman" w:hAnsi="Calibri" w:cs="Times New Roman"/>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841"/>
        <w:gridCol w:w="5798"/>
      </w:tblGrid>
      <w:tr w:rsidR="002F69BD" w:rsidRPr="000A3F70" w:rsidTr="001F41E1">
        <w:tc>
          <w:tcPr>
            <w:tcW w:w="1433" w:type="dxa"/>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Principal programme </w:t>
            </w:r>
          </w:p>
        </w:tc>
        <w:tc>
          <w:tcPr>
            <w:tcW w:w="1841" w:type="dxa"/>
            <w:shd w:val="clear" w:color="auto" w:fill="DEEAF6" w:themeFill="accent1" w:themeFillTint="33"/>
          </w:tcPr>
          <w:p w:rsidR="002F69BD" w:rsidRPr="000A3F70" w:rsidRDefault="002F69BD" w:rsidP="001F41E1">
            <w:pPr>
              <w:spacing w:after="0" w:line="240" w:lineRule="auto"/>
              <w:rPr>
                <w:rFonts w:ascii="Calibri" w:eastAsia="Times New Roman" w:hAnsi="Calibri" w:cs="Arial"/>
              </w:rPr>
            </w:pPr>
            <w:r w:rsidRPr="000A3F70">
              <w:rPr>
                <w:rFonts w:ascii="Calibri" w:eastAsia="Times New Roman" w:hAnsi="Calibri" w:cs="Times New Roman"/>
                <w:b/>
                <w:szCs w:val="24"/>
                <w:lang w:val="en-GB"/>
              </w:rPr>
              <w:t>Title</w:t>
            </w:r>
          </w:p>
        </w:tc>
        <w:tc>
          <w:tcPr>
            <w:tcW w:w="5798" w:type="dxa"/>
            <w:shd w:val="clear" w:color="auto" w:fill="auto"/>
          </w:tcPr>
          <w:p w:rsidR="002F69BD" w:rsidRPr="000A3F70" w:rsidRDefault="002F69BD" w:rsidP="001F41E1">
            <w:pPr>
              <w:spacing w:after="0" w:line="240" w:lineRule="auto"/>
              <w:rPr>
                <w:rFonts w:ascii="Calibri" w:eastAsia="Times New Roman" w:hAnsi="Calibri" w:cs="Arial"/>
              </w:rPr>
            </w:pPr>
            <w:r w:rsidRPr="000A3F70">
              <w:rPr>
                <w:rFonts w:ascii="Calibri" w:eastAsia="Times New Roman" w:hAnsi="Calibri" w:cs="Arial"/>
              </w:rPr>
              <w:t>MA in in Psychoanalytic Psychotherapy</w:t>
            </w:r>
          </w:p>
        </w:tc>
      </w:tr>
      <w:tr w:rsidR="002F69BD" w:rsidRPr="000A3F70" w:rsidTr="001F41E1">
        <w:tc>
          <w:tcPr>
            <w:tcW w:w="1433" w:type="dxa"/>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p>
        </w:tc>
        <w:tc>
          <w:tcPr>
            <w:tcW w:w="1841" w:type="dxa"/>
            <w:shd w:val="clear" w:color="auto" w:fill="DEEAF6" w:themeFill="accent1" w:themeFillTint="33"/>
          </w:tcPr>
          <w:p w:rsidR="002F69BD" w:rsidRPr="000A3F70" w:rsidRDefault="002F69BD" w:rsidP="001F41E1">
            <w:pPr>
              <w:spacing w:after="0" w:line="240" w:lineRule="auto"/>
              <w:rPr>
                <w:rFonts w:ascii="Calibri" w:eastAsia="Times New Roman" w:hAnsi="Calibri" w:cs="Arial"/>
              </w:rPr>
            </w:pPr>
            <w:r w:rsidRPr="000A3F70">
              <w:rPr>
                <w:rFonts w:ascii="Calibri" w:eastAsia="Times New Roman" w:hAnsi="Calibri" w:cs="Times New Roman"/>
                <w:b/>
                <w:szCs w:val="24"/>
                <w:lang w:val="en-GB"/>
              </w:rPr>
              <w:t>Award</w:t>
            </w:r>
          </w:p>
        </w:tc>
        <w:tc>
          <w:tcPr>
            <w:tcW w:w="5798" w:type="dxa"/>
            <w:shd w:val="clear" w:color="auto" w:fill="auto"/>
          </w:tcPr>
          <w:p w:rsidR="002F69BD" w:rsidRPr="000A3F70" w:rsidRDefault="002F69BD" w:rsidP="001F41E1">
            <w:pPr>
              <w:spacing w:after="0" w:line="240" w:lineRule="auto"/>
              <w:rPr>
                <w:rFonts w:ascii="Calibri" w:eastAsia="Times New Roman" w:hAnsi="Calibri" w:cs="Arial"/>
              </w:rPr>
            </w:pPr>
            <w:r w:rsidRPr="000A3F70">
              <w:rPr>
                <w:rFonts w:ascii="Calibri" w:eastAsia="Times New Roman" w:hAnsi="Calibri" w:cs="Arial"/>
              </w:rPr>
              <w:t>MA in Arts</w:t>
            </w:r>
          </w:p>
        </w:tc>
      </w:tr>
      <w:tr w:rsidR="002F69BD" w:rsidRPr="000A3F70" w:rsidTr="001F41E1">
        <w:tc>
          <w:tcPr>
            <w:tcW w:w="1433" w:type="dxa"/>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p>
        </w:tc>
        <w:tc>
          <w:tcPr>
            <w:tcW w:w="1841" w:type="dxa"/>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Credit</w:t>
            </w:r>
          </w:p>
        </w:tc>
        <w:tc>
          <w:tcPr>
            <w:tcW w:w="5798" w:type="dxa"/>
            <w:shd w:val="clear" w:color="auto" w:fill="auto"/>
          </w:tcPr>
          <w:p w:rsidR="002F69BD" w:rsidRPr="000A3F70" w:rsidRDefault="002F69BD" w:rsidP="001F41E1">
            <w:pPr>
              <w:spacing w:after="0" w:line="240" w:lineRule="auto"/>
              <w:rPr>
                <w:rFonts w:ascii="Calibri" w:eastAsia="Times New Roman" w:hAnsi="Calibri" w:cs="Arial"/>
              </w:rPr>
            </w:pPr>
            <w:r w:rsidRPr="000A3F70">
              <w:rPr>
                <w:rFonts w:ascii="Calibri" w:eastAsia="Times New Roman" w:hAnsi="Calibri" w:cs="Arial"/>
              </w:rPr>
              <w:t>120 ECTS</w:t>
            </w:r>
          </w:p>
        </w:tc>
      </w:tr>
      <w:tr w:rsidR="002F69BD" w:rsidRPr="000A3F70" w:rsidTr="001F41E1">
        <w:tc>
          <w:tcPr>
            <w:tcW w:w="1433" w:type="dxa"/>
            <w:tcBorders>
              <w:bottom w:val="single" w:sz="4" w:space="0" w:color="auto"/>
            </w:tcBorders>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p>
        </w:tc>
        <w:tc>
          <w:tcPr>
            <w:tcW w:w="1841" w:type="dxa"/>
            <w:tcBorders>
              <w:bottom w:val="single" w:sz="4" w:space="0" w:color="auto"/>
            </w:tcBorders>
            <w:shd w:val="clear" w:color="auto" w:fill="DEEAF6" w:themeFill="accent1" w:themeFillTint="33"/>
          </w:tcPr>
          <w:p w:rsidR="002F69BD" w:rsidRPr="000A3F70" w:rsidRDefault="002F69BD"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Duration</w:t>
            </w:r>
            <w:r w:rsidRPr="000A3F70">
              <w:rPr>
                <w:rStyle w:val="FootnoteReference"/>
                <w:rFonts w:ascii="Calibri" w:eastAsia="Times New Roman" w:hAnsi="Calibri" w:cs="Times New Roman"/>
                <w:b/>
                <w:szCs w:val="24"/>
                <w:lang w:val="en-GB"/>
              </w:rPr>
              <w:footnoteReference w:id="5"/>
            </w:r>
            <w:r w:rsidRPr="000A3F70">
              <w:rPr>
                <w:rFonts w:ascii="Calibri" w:eastAsia="Times New Roman" w:hAnsi="Calibri" w:cs="Times New Roman"/>
                <w:b/>
                <w:szCs w:val="24"/>
                <w:lang w:val="en-GB"/>
              </w:rPr>
              <w:t xml:space="preserve"> </w:t>
            </w:r>
          </w:p>
          <w:p w:rsidR="002F69BD" w:rsidRPr="000A3F70" w:rsidRDefault="002F69BD"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i/>
                <w:sz w:val="16"/>
                <w:szCs w:val="16"/>
                <w:lang w:val="en-GB"/>
              </w:rPr>
              <w:t>(years, months, weeks)</w:t>
            </w:r>
          </w:p>
        </w:tc>
        <w:tc>
          <w:tcPr>
            <w:tcW w:w="5798" w:type="dxa"/>
            <w:tcBorders>
              <w:bottom w:val="single" w:sz="4" w:space="0" w:color="auto"/>
            </w:tcBorders>
            <w:shd w:val="clear" w:color="auto" w:fill="auto"/>
          </w:tcPr>
          <w:p w:rsidR="002F69BD" w:rsidRPr="000A3F70" w:rsidRDefault="002F69BD" w:rsidP="001F41E1">
            <w:pPr>
              <w:spacing w:after="0" w:line="240" w:lineRule="auto"/>
              <w:rPr>
                <w:rFonts w:ascii="Calibri" w:eastAsia="Times New Roman" w:hAnsi="Calibri" w:cs="Arial"/>
              </w:rPr>
            </w:pPr>
            <w:r w:rsidRPr="000A3F70">
              <w:rPr>
                <w:rFonts w:ascii="Calibri" w:eastAsia="Times New Roman" w:hAnsi="Calibri" w:cs="Arial"/>
              </w:rPr>
              <w:t>3 years (6 semesters) part-time</w:t>
            </w:r>
          </w:p>
        </w:tc>
      </w:tr>
      <w:tr w:rsidR="002F69BD" w:rsidRPr="000A3F70" w:rsidTr="001F41E1">
        <w:tc>
          <w:tcPr>
            <w:tcW w:w="1433" w:type="dxa"/>
            <w:tcBorders>
              <w:bottom w:val="single" w:sz="4" w:space="0" w:color="auto"/>
            </w:tcBorders>
            <w:shd w:val="clear" w:color="auto" w:fill="DEEAF6" w:themeFill="accent1" w:themeFillTint="33"/>
          </w:tcPr>
          <w:p w:rsidR="002F69BD" w:rsidRPr="00FC49AE" w:rsidRDefault="002F69BD" w:rsidP="001F41E1">
            <w:pPr>
              <w:spacing w:after="0" w:line="240" w:lineRule="auto"/>
              <w:rPr>
                <w:rFonts w:ascii="Calibri" w:eastAsia="Times New Roman" w:hAnsi="Calibri" w:cs="Times New Roman"/>
                <w:b/>
                <w:szCs w:val="24"/>
                <w:lang w:val="en-GB"/>
              </w:rPr>
            </w:pPr>
          </w:p>
        </w:tc>
        <w:tc>
          <w:tcPr>
            <w:tcW w:w="1841" w:type="dxa"/>
            <w:tcBorders>
              <w:bottom w:val="single" w:sz="4" w:space="0" w:color="auto"/>
            </w:tcBorders>
            <w:shd w:val="clear" w:color="auto" w:fill="DEEAF6" w:themeFill="accent1" w:themeFillTint="33"/>
          </w:tcPr>
          <w:p w:rsidR="002F69BD" w:rsidRPr="00FC49AE" w:rsidRDefault="002F69BD" w:rsidP="001F41E1">
            <w:pPr>
              <w:spacing w:after="0" w:line="240" w:lineRule="auto"/>
              <w:rPr>
                <w:rFonts w:ascii="Calibri" w:eastAsia="Times New Roman" w:hAnsi="Calibri" w:cs="Times New Roman"/>
                <w:b/>
                <w:szCs w:val="24"/>
                <w:lang w:val="en-GB"/>
              </w:rPr>
            </w:pPr>
            <w:r w:rsidRPr="00FC49AE">
              <w:rPr>
                <w:rFonts w:ascii="Calibri" w:eastAsia="Times New Roman" w:hAnsi="Calibri" w:cs="Times New Roman"/>
                <w:b/>
                <w:szCs w:val="24"/>
                <w:lang w:val="en-GB"/>
              </w:rPr>
              <w:t>Recommendation</w:t>
            </w:r>
          </w:p>
          <w:p w:rsidR="002F69BD" w:rsidRPr="00FC49AE" w:rsidRDefault="002F69BD" w:rsidP="006D0562">
            <w:pPr>
              <w:spacing w:after="0" w:line="240" w:lineRule="auto"/>
              <w:rPr>
                <w:rFonts w:ascii="Calibri" w:eastAsia="Times New Roman" w:hAnsi="Calibri" w:cs="Times New Roman"/>
                <w:i/>
                <w:sz w:val="16"/>
                <w:szCs w:val="16"/>
                <w:lang w:val="en-GB"/>
              </w:rPr>
            </w:pPr>
            <w:r w:rsidRPr="00FC49AE">
              <w:rPr>
                <w:rFonts w:ascii="Calibri" w:eastAsia="Times New Roman" w:hAnsi="Calibri" w:cs="Times New Roman"/>
                <w:i/>
                <w:sz w:val="16"/>
                <w:szCs w:val="16"/>
                <w:lang w:val="en-GB"/>
              </w:rPr>
              <w:t xml:space="preserve">Satisfactory </w:t>
            </w:r>
          </w:p>
          <w:p w:rsidR="006D0562" w:rsidRPr="00FC49AE" w:rsidRDefault="006D0562" w:rsidP="006D0562">
            <w:pPr>
              <w:spacing w:after="0" w:line="240" w:lineRule="auto"/>
              <w:rPr>
                <w:rFonts w:ascii="Calibri" w:eastAsia="Times New Roman" w:hAnsi="Calibri" w:cs="Times New Roman"/>
                <w:b/>
                <w:szCs w:val="24"/>
                <w:lang w:val="en-GB"/>
              </w:rPr>
            </w:pPr>
          </w:p>
        </w:tc>
        <w:tc>
          <w:tcPr>
            <w:tcW w:w="5798" w:type="dxa"/>
            <w:tcBorders>
              <w:bottom w:val="single" w:sz="4" w:space="0" w:color="auto"/>
            </w:tcBorders>
            <w:shd w:val="clear" w:color="auto" w:fill="auto"/>
          </w:tcPr>
          <w:p w:rsidR="002F69BD" w:rsidRPr="000A3F70" w:rsidRDefault="002F69BD" w:rsidP="001F41E1">
            <w:pPr>
              <w:spacing w:after="0" w:line="240" w:lineRule="auto"/>
              <w:rPr>
                <w:rFonts w:ascii="Calibri" w:eastAsia="Times New Roman" w:hAnsi="Calibri" w:cs="Arial"/>
              </w:rPr>
            </w:pPr>
          </w:p>
        </w:tc>
      </w:tr>
    </w:tbl>
    <w:p w:rsidR="00472A27" w:rsidRPr="000A3F70" w:rsidRDefault="00472A27" w:rsidP="00472A27">
      <w:pPr>
        <w:pStyle w:val="Heading2"/>
        <w:numPr>
          <w:ilvl w:val="0"/>
          <w:numId w:val="0"/>
        </w:numPr>
        <w:ind w:left="576" w:hanging="576"/>
        <w:rPr>
          <w:rFonts w:eastAsia="Times New Roman"/>
          <w:color w:val="auto"/>
          <w:lang w:val="en-GB"/>
        </w:rPr>
      </w:pPr>
      <w:bookmarkStart w:id="28" w:name="_Toc479176607"/>
      <w:bookmarkStart w:id="29" w:name="_Toc479176694"/>
      <w:bookmarkStart w:id="30" w:name="_Toc513221597"/>
      <w:r w:rsidRPr="000A3F70">
        <w:rPr>
          <w:rFonts w:eastAsia="Times New Roman"/>
          <w:color w:val="auto"/>
          <w:lang w:val="en-GB"/>
        </w:rPr>
        <w:t>Evaluators</w:t>
      </w:r>
      <w:bookmarkEnd w:id="28"/>
      <w:bookmarkEnd w:id="29"/>
      <w:bookmarkEnd w:id="30"/>
    </w:p>
    <w:tbl>
      <w:tblPr>
        <w:tblStyle w:val="TableGrid"/>
        <w:tblW w:w="9072" w:type="dxa"/>
        <w:tblInd w:w="-5" w:type="dxa"/>
        <w:tblLook w:val="04A0" w:firstRow="1" w:lastRow="0" w:firstColumn="1" w:lastColumn="0" w:noHBand="0" w:noVBand="1"/>
      </w:tblPr>
      <w:tblGrid>
        <w:gridCol w:w="2835"/>
        <w:gridCol w:w="1982"/>
        <w:gridCol w:w="4255"/>
      </w:tblGrid>
      <w:tr w:rsidR="00483C1F" w:rsidRPr="000A3F70" w:rsidTr="001F41E1">
        <w:tc>
          <w:tcPr>
            <w:tcW w:w="2835" w:type="dxa"/>
            <w:shd w:val="clear" w:color="auto" w:fill="DEEAF6" w:themeFill="accent1" w:themeFillTint="33"/>
          </w:tcPr>
          <w:p w:rsidR="00483C1F" w:rsidRPr="000A3F70" w:rsidRDefault="00483C1F" w:rsidP="001F41E1">
            <w:pPr>
              <w:rPr>
                <w:b/>
              </w:rPr>
            </w:pPr>
            <w:r w:rsidRPr="000A3F70">
              <w:rPr>
                <w:b/>
              </w:rPr>
              <w:t>Name</w:t>
            </w:r>
          </w:p>
        </w:tc>
        <w:tc>
          <w:tcPr>
            <w:tcW w:w="1982" w:type="dxa"/>
            <w:shd w:val="clear" w:color="auto" w:fill="DEEAF6" w:themeFill="accent1" w:themeFillTint="33"/>
          </w:tcPr>
          <w:p w:rsidR="00483C1F" w:rsidRPr="000A3F70" w:rsidRDefault="00483C1F" w:rsidP="001F41E1">
            <w:pPr>
              <w:rPr>
                <w:b/>
              </w:rPr>
            </w:pPr>
            <w:r w:rsidRPr="000A3F70">
              <w:rPr>
                <w:b/>
              </w:rPr>
              <w:t>Role</w:t>
            </w:r>
          </w:p>
        </w:tc>
        <w:tc>
          <w:tcPr>
            <w:tcW w:w="4255" w:type="dxa"/>
            <w:shd w:val="clear" w:color="auto" w:fill="DEEAF6" w:themeFill="accent1" w:themeFillTint="33"/>
          </w:tcPr>
          <w:p w:rsidR="00483C1F" w:rsidRPr="000A3F70" w:rsidRDefault="00483C1F" w:rsidP="001F41E1">
            <w:pPr>
              <w:rPr>
                <w:b/>
              </w:rPr>
            </w:pPr>
            <w:r w:rsidRPr="000A3F70">
              <w:rPr>
                <w:b/>
              </w:rPr>
              <w:t>Affiliation</w:t>
            </w:r>
          </w:p>
        </w:tc>
      </w:tr>
      <w:tr w:rsidR="00483C1F" w:rsidRPr="000A3F70" w:rsidTr="001F41E1">
        <w:tc>
          <w:tcPr>
            <w:tcW w:w="2835" w:type="dxa"/>
            <w:shd w:val="clear" w:color="auto" w:fill="auto"/>
          </w:tcPr>
          <w:p w:rsidR="00483C1F" w:rsidRPr="000A3F70" w:rsidRDefault="00483C1F" w:rsidP="001F41E1">
            <w:r w:rsidRPr="000A3F70">
              <w:t>Ms Donna Bell</w:t>
            </w:r>
          </w:p>
        </w:tc>
        <w:tc>
          <w:tcPr>
            <w:tcW w:w="1982" w:type="dxa"/>
            <w:shd w:val="clear" w:color="auto" w:fill="auto"/>
          </w:tcPr>
          <w:p w:rsidR="00483C1F" w:rsidRPr="000A3F70" w:rsidRDefault="00483C1F" w:rsidP="001F41E1">
            <w:r w:rsidRPr="000A3F70">
              <w:t>Chair</w:t>
            </w:r>
          </w:p>
        </w:tc>
        <w:tc>
          <w:tcPr>
            <w:tcW w:w="4255" w:type="dxa"/>
            <w:shd w:val="clear" w:color="auto" w:fill="auto"/>
          </w:tcPr>
          <w:p w:rsidR="00483C1F" w:rsidRPr="000A3F70" w:rsidRDefault="00483C1F" w:rsidP="001F41E1">
            <w:r w:rsidRPr="000A3F70">
              <w:t>Independent Consultant</w:t>
            </w:r>
          </w:p>
        </w:tc>
      </w:tr>
      <w:tr w:rsidR="00483C1F" w:rsidRPr="000A3F70" w:rsidTr="001F41E1">
        <w:trPr>
          <w:trHeight w:val="315"/>
        </w:trPr>
        <w:tc>
          <w:tcPr>
            <w:tcW w:w="2835" w:type="dxa"/>
            <w:shd w:val="clear" w:color="auto" w:fill="auto"/>
          </w:tcPr>
          <w:p w:rsidR="00483C1F" w:rsidRPr="000A3F70" w:rsidRDefault="00483C1F" w:rsidP="001F41E1">
            <w:r w:rsidRPr="000A3F70">
              <w:t>Mary Jennings</w:t>
            </w:r>
          </w:p>
        </w:tc>
        <w:tc>
          <w:tcPr>
            <w:tcW w:w="1982" w:type="dxa"/>
            <w:shd w:val="clear" w:color="auto" w:fill="auto"/>
          </w:tcPr>
          <w:p w:rsidR="00483C1F" w:rsidRPr="000A3F70" w:rsidRDefault="00483C1F" w:rsidP="001F41E1">
            <w:r w:rsidRPr="000A3F70">
              <w:t>Secretary</w:t>
            </w:r>
          </w:p>
        </w:tc>
        <w:tc>
          <w:tcPr>
            <w:tcW w:w="4255" w:type="dxa"/>
            <w:shd w:val="clear" w:color="auto" w:fill="auto"/>
          </w:tcPr>
          <w:p w:rsidR="00483C1F" w:rsidRPr="000A3F70" w:rsidRDefault="00483C1F" w:rsidP="001F41E1">
            <w:r w:rsidRPr="000A3F70">
              <w:t>Independent Consultant</w:t>
            </w:r>
          </w:p>
        </w:tc>
      </w:tr>
      <w:tr w:rsidR="00483C1F" w:rsidRPr="000A3F70" w:rsidTr="001F41E1">
        <w:trPr>
          <w:trHeight w:val="315"/>
        </w:trPr>
        <w:tc>
          <w:tcPr>
            <w:tcW w:w="2835" w:type="dxa"/>
            <w:shd w:val="clear" w:color="auto" w:fill="auto"/>
          </w:tcPr>
          <w:p w:rsidR="00483C1F" w:rsidRPr="000A3F70" w:rsidRDefault="00483C1F" w:rsidP="001F41E1">
            <w:r w:rsidRPr="000A3F70">
              <w:t>Dr Sarah Morton</w:t>
            </w:r>
          </w:p>
        </w:tc>
        <w:tc>
          <w:tcPr>
            <w:tcW w:w="1982" w:type="dxa"/>
            <w:shd w:val="clear" w:color="auto" w:fill="auto"/>
          </w:tcPr>
          <w:p w:rsidR="00483C1F" w:rsidRPr="000A3F70" w:rsidRDefault="00483C1F" w:rsidP="001F41E1">
            <w:r w:rsidRPr="000A3F70">
              <w:t>Subject Expert</w:t>
            </w:r>
          </w:p>
        </w:tc>
        <w:tc>
          <w:tcPr>
            <w:tcW w:w="4255" w:type="dxa"/>
            <w:shd w:val="clear" w:color="auto" w:fill="auto"/>
          </w:tcPr>
          <w:p w:rsidR="00483C1F" w:rsidRPr="000A3F70" w:rsidRDefault="00483C1F" w:rsidP="001F41E1">
            <w:r w:rsidRPr="000A3F70">
              <w:t>Assistant Professor, School of Social Policy, Social Work and Social Justice, UCD</w:t>
            </w:r>
          </w:p>
        </w:tc>
      </w:tr>
      <w:tr w:rsidR="00483C1F" w:rsidRPr="000A3F70" w:rsidTr="001F41E1">
        <w:trPr>
          <w:trHeight w:val="315"/>
        </w:trPr>
        <w:tc>
          <w:tcPr>
            <w:tcW w:w="2835" w:type="dxa"/>
            <w:shd w:val="clear" w:color="auto" w:fill="auto"/>
          </w:tcPr>
          <w:p w:rsidR="00483C1F" w:rsidRPr="000A3F70" w:rsidRDefault="00483C1F" w:rsidP="001F41E1">
            <w:r w:rsidRPr="000A3F70">
              <w:t>Dr Mary Darby</w:t>
            </w:r>
          </w:p>
        </w:tc>
        <w:tc>
          <w:tcPr>
            <w:tcW w:w="1982" w:type="dxa"/>
            <w:shd w:val="clear" w:color="auto" w:fill="auto"/>
          </w:tcPr>
          <w:p w:rsidR="00483C1F" w:rsidRPr="000A3F70" w:rsidRDefault="00483C1F" w:rsidP="001F41E1">
            <w:r w:rsidRPr="000A3F70">
              <w:t>Subject Expert</w:t>
            </w:r>
          </w:p>
        </w:tc>
        <w:tc>
          <w:tcPr>
            <w:tcW w:w="4255" w:type="dxa"/>
            <w:shd w:val="clear" w:color="auto" w:fill="auto"/>
          </w:tcPr>
          <w:p w:rsidR="00483C1F" w:rsidRPr="000A3F70" w:rsidRDefault="00483C1F" w:rsidP="001F41E1">
            <w:r w:rsidRPr="000A3F70">
              <w:t>Consultant Psychiatrist, School of Psychotherapy, St Vincent’s Hospital</w:t>
            </w:r>
          </w:p>
        </w:tc>
      </w:tr>
      <w:tr w:rsidR="00483C1F" w:rsidRPr="000A3F70" w:rsidTr="001F41E1">
        <w:trPr>
          <w:trHeight w:val="315"/>
        </w:trPr>
        <w:tc>
          <w:tcPr>
            <w:tcW w:w="2835" w:type="dxa"/>
            <w:shd w:val="clear" w:color="auto" w:fill="auto"/>
          </w:tcPr>
          <w:p w:rsidR="00483C1F" w:rsidRPr="000A3F70" w:rsidRDefault="00483C1F" w:rsidP="001F41E1">
            <w:r w:rsidRPr="000A3F70">
              <w:t>Dr Aisling Campbell</w:t>
            </w:r>
          </w:p>
        </w:tc>
        <w:tc>
          <w:tcPr>
            <w:tcW w:w="1982" w:type="dxa"/>
            <w:shd w:val="clear" w:color="auto" w:fill="auto"/>
          </w:tcPr>
          <w:p w:rsidR="00483C1F" w:rsidRPr="000A3F70" w:rsidRDefault="00483C1F" w:rsidP="001F41E1">
            <w:r w:rsidRPr="000A3F70">
              <w:t>Subject Expert</w:t>
            </w:r>
          </w:p>
        </w:tc>
        <w:tc>
          <w:tcPr>
            <w:tcW w:w="4255" w:type="dxa"/>
            <w:shd w:val="clear" w:color="auto" w:fill="auto"/>
          </w:tcPr>
          <w:p w:rsidR="00483C1F" w:rsidRPr="000A3F70" w:rsidRDefault="00483C1F" w:rsidP="001F41E1">
            <w:r w:rsidRPr="000A3F70">
              <w:t>Consultant Psychiatrist and lecturer in psychiatry in UCC</w:t>
            </w:r>
          </w:p>
        </w:tc>
      </w:tr>
      <w:tr w:rsidR="00483C1F" w:rsidRPr="000A3F70" w:rsidTr="001F41E1">
        <w:trPr>
          <w:trHeight w:val="315"/>
        </w:trPr>
        <w:tc>
          <w:tcPr>
            <w:tcW w:w="2835" w:type="dxa"/>
            <w:shd w:val="clear" w:color="auto" w:fill="auto"/>
          </w:tcPr>
          <w:p w:rsidR="00483C1F" w:rsidRPr="000A3F70" w:rsidRDefault="00483C1F" w:rsidP="001F41E1">
            <w:r w:rsidRPr="000A3F70">
              <w:t>Dr Derek Barter</w:t>
            </w:r>
          </w:p>
        </w:tc>
        <w:tc>
          <w:tcPr>
            <w:tcW w:w="1982" w:type="dxa"/>
            <w:shd w:val="clear" w:color="auto" w:fill="auto"/>
          </w:tcPr>
          <w:p w:rsidR="00483C1F" w:rsidRPr="000A3F70" w:rsidRDefault="00483C1F" w:rsidP="001F41E1">
            <w:r w:rsidRPr="000A3F70">
              <w:t>Subject Expert</w:t>
            </w:r>
          </w:p>
        </w:tc>
        <w:tc>
          <w:tcPr>
            <w:tcW w:w="4255" w:type="dxa"/>
            <w:shd w:val="clear" w:color="auto" w:fill="auto"/>
          </w:tcPr>
          <w:p w:rsidR="00483C1F" w:rsidRPr="000A3F70" w:rsidRDefault="00483C1F" w:rsidP="001F41E1">
            <w:r w:rsidRPr="000A3F70">
              <w:t>Continuing Education Manager, Dept of Adult and Community Education NUI Maynooth</w:t>
            </w:r>
          </w:p>
        </w:tc>
      </w:tr>
      <w:tr w:rsidR="00483C1F" w:rsidRPr="000A3F70" w:rsidTr="001F41E1">
        <w:trPr>
          <w:trHeight w:val="315"/>
        </w:trPr>
        <w:tc>
          <w:tcPr>
            <w:tcW w:w="2835" w:type="dxa"/>
            <w:shd w:val="clear" w:color="auto" w:fill="auto"/>
          </w:tcPr>
          <w:p w:rsidR="00483C1F" w:rsidRPr="000A3F70" w:rsidRDefault="00483C1F" w:rsidP="001F41E1">
            <w:r w:rsidRPr="000A3F70">
              <w:t>Mr Conor Roe</w:t>
            </w:r>
          </w:p>
        </w:tc>
        <w:tc>
          <w:tcPr>
            <w:tcW w:w="1982" w:type="dxa"/>
            <w:shd w:val="clear" w:color="auto" w:fill="auto"/>
          </w:tcPr>
          <w:p w:rsidR="00483C1F" w:rsidRPr="000A3F70" w:rsidRDefault="00483C1F" w:rsidP="001F41E1">
            <w:r w:rsidRPr="000A3F70">
              <w:t>Learner Representative</w:t>
            </w:r>
          </w:p>
        </w:tc>
        <w:tc>
          <w:tcPr>
            <w:tcW w:w="4255" w:type="dxa"/>
            <w:shd w:val="clear" w:color="auto" w:fill="auto"/>
          </w:tcPr>
          <w:p w:rsidR="00483C1F" w:rsidRPr="000A3F70" w:rsidRDefault="00483C1F" w:rsidP="001F41E1">
            <w:pPr>
              <w:rPr>
                <w:lang w:val="en-GB"/>
              </w:rPr>
            </w:pPr>
            <w:r w:rsidRPr="000A3F70">
              <w:rPr>
                <w:lang w:val="en-GB"/>
              </w:rPr>
              <w:t>Masters in Science -  Integrative Psychotherapy, DCU</w:t>
            </w:r>
          </w:p>
          <w:p w:rsidR="00483C1F" w:rsidRPr="000A3F70" w:rsidRDefault="00483C1F" w:rsidP="001F41E1"/>
        </w:tc>
      </w:tr>
      <w:tr w:rsidR="00483C1F" w:rsidRPr="000A3F70" w:rsidTr="001F41E1">
        <w:trPr>
          <w:trHeight w:val="315"/>
        </w:trPr>
        <w:tc>
          <w:tcPr>
            <w:tcW w:w="2835" w:type="dxa"/>
            <w:shd w:val="clear" w:color="auto" w:fill="auto"/>
          </w:tcPr>
          <w:p w:rsidR="00483C1F" w:rsidRPr="000A3F70" w:rsidRDefault="00483C1F" w:rsidP="001F41E1">
            <w:r w:rsidRPr="000A3F70">
              <w:t>Dr Brian Galvin</w:t>
            </w:r>
          </w:p>
        </w:tc>
        <w:tc>
          <w:tcPr>
            <w:tcW w:w="1982" w:type="dxa"/>
            <w:shd w:val="clear" w:color="auto" w:fill="auto"/>
          </w:tcPr>
          <w:p w:rsidR="00483C1F" w:rsidRPr="000A3F70" w:rsidRDefault="00483C1F" w:rsidP="001F41E1">
            <w:r w:rsidRPr="000A3F70">
              <w:t>Employer Representative</w:t>
            </w:r>
          </w:p>
        </w:tc>
        <w:tc>
          <w:tcPr>
            <w:tcW w:w="4255" w:type="dxa"/>
            <w:shd w:val="clear" w:color="auto" w:fill="auto"/>
          </w:tcPr>
          <w:p w:rsidR="00483C1F" w:rsidRPr="000A3F70" w:rsidRDefault="00483C1F" w:rsidP="001F41E1">
            <w:r w:rsidRPr="000A3F70">
              <w:t>Head of Irish National Focal Point to EMCDDA,  Health Research Bureau (HRB)</w:t>
            </w:r>
          </w:p>
        </w:tc>
      </w:tr>
    </w:tbl>
    <w:p w:rsidR="00483C1F" w:rsidRPr="000A3F70" w:rsidRDefault="00483C1F" w:rsidP="00483C1F">
      <w:pPr>
        <w:rPr>
          <w:lang w:val="en-GB"/>
        </w:rPr>
      </w:pPr>
    </w:p>
    <w:p w:rsidR="00472A27" w:rsidRPr="000A3F70" w:rsidRDefault="00472A27" w:rsidP="00472A27">
      <w:pPr>
        <w:spacing w:after="0" w:line="240" w:lineRule="auto"/>
        <w:rPr>
          <w:lang w:val="en-GB"/>
        </w:rPr>
      </w:pPr>
    </w:p>
    <w:p w:rsidR="00483C1F" w:rsidRPr="000A3F70" w:rsidRDefault="00B94E05" w:rsidP="005C0200">
      <w:pPr>
        <w:pStyle w:val="Heading2"/>
        <w:numPr>
          <w:ilvl w:val="0"/>
          <w:numId w:val="0"/>
        </w:numPr>
        <w:ind w:left="576" w:hanging="576"/>
        <w:rPr>
          <w:color w:val="auto"/>
          <w:lang w:val="en-GB"/>
        </w:rPr>
      </w:pPr>
      <w:bookmarkStart w:id="31" w:name="_Toc479176608"/>
      <w:bookmarkStart w:id="32" w:name="_Toc479176695"/>
      <w:bookmarkStart w:id="33" w:name="_Toc513221598"/>
      <w:r w:rsidRPr="000A3F70">
        <w:rPr>
          <w:rFonts w:eastAsia="Times New Roman"/>
          <w:color w:val="auto"/>
          <w:lang w:val="en-GB"/>
        </w:rPr>
        <w:t xml:space="preserve">7.1  </w:t>
      </w:r>
      <w:r w:rsidR="00472A27" w:rsidRPr="000A3F70">
        <w:rPr>
          <w:rFonts w:eastAsia="Times New Roman"/>
          <w:color w:val="auto"/>
          <w:lang w:val="en-GB"/>
        </w:rPr>
        <w:t>Principal Programme</w:t>
      </w:r>
      <w:bookmarkEnd w:id="31"/>
      <w:bookmarkEnd w:id="32"/>
      <w:r w:rsidR="00483C1F" w:rsidRPr="000A3F70">
        <w:rPr>
          <w:rFonts w:eastAsia="Times New Roman"/>
          <w:color w:val="auto"/>
          <w:lang w:val="en-GB"/>
        </w:rPr>
        <w:t xml:space="preserve"> </w:t>
      </w:r>
      <w:r w:rsidR="00483C1F" w:rsidRPr="000A3F70">
        <w:rPr>
          <w:color w:val="auto"/>
          <w:lang w:val="en-GB"/>
        </w:rPr>
        <w:t>MA in Addiction Studies</w:t>
      </w:r>
      <w:bookmarkEnd w:id="3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59"/>
        <w:gridCol w:w="1559"/>
      </w:tblGrid>
      <w:tr w:rsidR="00472A27" w:rsidRPr="000A3F70" w:rsidTr="4B803086">
        <w:tc>
          <w:tcPr>
            <w:tcW w:w="5954"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Names of Centres Where the Programmes are to be provided </w:t>
            </w:r>
          </w:p>
          <w:p w:rsidR="00483C1F" w:rsidRPr="000A3F70" w:rsidRDefault="00483C1F" w:rsidP="001C0F0B">
            <w:pPr>
              <w:spacing w:after="0" w:line="240" w:lineRule="auto"/>
              <w:rPr>
                <w:rFonts w:ascii="Calibri" w:eastAsia="Times New Roman" w:hAnsi="Calibri" w:cs="Times New Roman"/>
                <w:b/>
                <w:szCs w:val="24"/>
                <w:lang w:val="en-GB"/>
              </w:rPr>
            </w:pPr>
          </w:p>
        </w:tc>
        <w:tc>
          <w:tcPr>
            <w:tcW w:w="1559"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Maximum number of learners</w:t>
            </w:r>
          </w:p>
        </w:tc>
        <w:tc>
          <w:tcPr>
            <w:tcW w:w="1559"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Minimum number of learners</w:t>
            </w:r>
          </w:p>
        </w:tc>
      </w:tr>
      <w:tr w:rsidR="00472A27" w:rsidRPr="000A3F70" w:rsidTr="4B803086">
        <w:tc>
          <w:tcPr>
            <w:tcW w:w="5954" w:type="dxa"/>
            <w:shd w:val="clear" w:color="auto" w:fill="auto"/>
          </w:tcPr>
          <w:p w:rsidR="00472A27" w:rsidRPr="000A3F70" w:rsidRDefault="00483C1F"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DBS Dublin Campus</w:t>
            </w:r>
          </w:p>
        </w:tc>
        <w:tc>
          <w:tcPr>
            <w:tcW w:w="1559" w:type="dxa"/>
            <w:shd w:val="clear" w:color="auto" w:fill="auto"/>
          </w:tcPr>
          <w:p w:rsidR="00472A27" w:rsidRPr="000A3F70" w:rsidRDefault="009230AE"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50</w:t>
            </w:r>
          </w:p>
        </w:tc>
        <w:tc>
          <w:tcPr>
            <w:tcW w:w="1559" w:type="dxa"/>
          </w:tcPr>
          <w:p w:rsidR="00472A27" w:rsidRPr="000A3F70" w:rsidRDefault="009230AE"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8</w:t>
            </w:r>
          </w:p>
        </w:tc>
      </w:tr>
    </w:tbl>
    <w:p w:rsidR="00472A27" w:rsidRPr="000A3F70" w:rsidRDefault="00472A27" w:rsidP="00472A27">
      <w:pPr>
        <w:spacing w:after="0" w:line="240" w:lineRule="auto"/>
        <w:rPr>
          <w:rFonts w:ascii="Calibri" w:eastAsia="Times New Roman" w:hAnsi="Calibri" w:cs="Times New Roman"/>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557"/>
      </w:tblGrid>
      <w:tr w:rsidR="00472A27" w:rsidRPr="000A3F70" w:rsidTr="4B803086">
        <w:tc>
          <w:tcPr>
            <w:tcW w:w="3515"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Target learner groups</w:t>
            </w:r>
          </w:p>
        </w:tc>
        <w:tc>
          <w:tcPr>
            <w:tcW w:w="5557" w:type="dxa"/>
          </w:tcPr>
          <w:p w:rsidR="009230AE" w:rsidRPr="000A3F70" w:rsidRDefault="009230AE" w:rsidP="00C90305">
            <w:pPr>
              <w:pStyle w:val="NormalWeb"/>
              <w:numPr>
                <w:ilvl w:val="0"/>
                <w:numId w:val="37"/>
              </w:numPr>
              <w:spacing w:before="0" w:beforeAutospacing="0" w:after="0" w:afterAutospacing="0"/>
              <w:ind w:left="714"/>
              <w:textAlignment w:val="baseline"/>
              <w:rPr>
                <w:rFonts w:asciiTheme="minorHAnsi" w:eastAsiaTheme="minorHAnsi" w:hAnsiTheme="minorHAnsi" w:cstheme="minorBidi"/>
                <w:sz w:val="22"/>
                <w:szCs w:val="22"/>
                <w:lang w:eastAsia="en-US"/>
              </w:rPr>
            </w:pPr>
            <w:r w:rsidRPr="000A3F70">
              <w:rPr>
                <w:rFonts w:asciiTheme="minorHAnsi" w:eastAsiaTheme="minorHAnsi" w:hAnsiTheme="minorHAnsi" w:cstheme="minorBidi"/>
                <w:sz w:val="22"/>
                <w:szCs w:val="22"/>
                <w:lang w:eastAsia="en-US"/>
              </w:rPr>
              <w:t>Graduates with Second Class Level 8 Honours Degree (2.2) in a cognate discipline (See Section 4.2.1) from a recognised third level institution or an equivalent qualification.</w:t>
            </w:r>
          </w:p>
          <w:p w:rsidR="009230AE" w:rsidRPr="000A3F70" w:rsidRDefault="009230AE" w:rsidP="00C90305">
            <w:pPr>
              <w:pStyle w:val="NormalWeb"/>
              <w:numPr>
                <w:ilvl w:val="0"/>
                <w:numId w:val="37"/>
              </w:numPr>
              <w:spacing w:before="0" w:beforeAutospacing="0" w:after="0" w:afterAutospacing="0"/>
              <w:ind w:left="711"/>
              <w:textAlignment w:val="baseline"/>
              <w:rPr>
                <w:rFonts w:asciiTheme="minorHAnsi" w:eastAsiaTheme="minorHAnsi" w:hAnsiTheme="minorHAnsi" w:cstheme="minorBidi"/>
                <w:sz w:val="22"/>
                <w:szCs w:val="22"/>
                <w:lang w:eastAsia="en-US"/>
              </w:rPr>
            </w:pPr>
            <w:r w:rsidRPr="000A3F70">
              <w:rPr>
                <w:rFonts w:asciiTheme="minorHAnsi" w:eastAsiaTheme="minorHAnsi" w:hAnsiTheme="minorHAnsi" w:cstheme="minorBidi"/>
                <w:sz w:val="22"/>
                <w:szCs w:val="22"/>
                <w:lang w:eastAsia="en-US"/>
              </w:rPr>
              <w:t>Full-time/Part-time learners who may be already working in the sector and are seeking career advancement or upskilling in the area.</w:t>
            </w:r>
          </w:p>
          <w:p w:rsidR="009230AE" w:rsidRPr="000A3F70" w:rsidRDefault="009230AE" w:rsidP="009230AE">
            <w:pPr>
              <w:pStyle w:val="NormalWeb"/>
              <w:spacing w:before="0" w:beforeAutospacing="0" w:after="0" w:afterAutospacing="0"/>
              <w:textAlignment w:val="baseline"/>
              <w:rPr>
                <w:rFonts w:asciiTheme="minorHAnsi" w:eastAsiaTheme="minorHAnsi" w:hAnsiTheme="minorHAnsi" w:cstheme="minorBidi"/>
                <w:sz w:val="22"/>
                <w:szCs w:val="22"/>
                <w:lang w:eastAsia="en-US"/>
              </w:rPr>
            </w:pPr>
          </w:p>
          <w:p w:rsidR="00472A27" w:rsidRPr="000A3F70" w:rsidRDefault="00472A27" w:rsidP="00483C1F">
            <w:pPr>
              <w:pStyle w:val="NormalWeb"/>
              <w:spacing w:before="0" w:beforeAutospacing="0" w:after="0" w:afterAutospacing="0"/>
              <w:textAlignment w:val="baseline"/>
              <w:rPr>
                <w:rFonts w:ascii="Calibri" w:hAnsi="Calibri"/>
              </w:rPr>
            </w:pPr>
          </w:p>
        </w:tc>
      </w:tr>
      <w:tr w:rsidR="00472A27" w:rsidRPr="000A3F70" w:rsidTr="4B803086">
        <w:tc>
          <w:tcPr>
            <w:tcW w:w="3515"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Number of learners per intake </w:t>
            </w:r>
          </w:p>
        </w:tc>
        <w:tc>
          <w:tcPr>
            <w:tcW w:w="5557" w:type="dxa"/>
          </w:tcPr>
          <w:p w:rsidR="00472A27" w:rsidRPr="000A3F70" w:rsidRDefault="009230AE"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8-50</w:t>
            </w:r>
          </w:p>
        </w:tc>
      </w:tr>
      <w:tr w:rsidR="00472A27" w:rsidRPr="000A3F70" w:rsidTr="4B803086">
        <w:tc>
          <w:tcPr>
            <w:tcW w:w="3515"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Approved countries for provision</w:t>
            </w:r>
          </w:p>
        </w:tc>
        <w:tc>
          <w:tcPr>
            <w:tcW w:w="5557" w:type="dxa"/>
          </w:tcPr>
          <w:p w:rsidR="00472A27" w:rsidRPr="000A3F70" w:rsidRDefault="00482A54"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Ireland</w:t>
            </w:r>
          </w:p>
        </w:tc>
      </w:tr>
      <w:tr w:rsidR="00472A27" w:rsidRPr="000A3F70" w:rsidTr="4B803086">
        <w:tc>
          <w:tcPr>
            <w:tcW w:w="3515"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Delivery mode: Full-time/Part-time</w:t>
            </w:r>
          </w:p>
        </w:tc>
        <w:tc>
          <w:tcPr>
            <w:tcW w:w="5557" w:type="dxa"/>
          </w:tcPr>
          <w:p w:rsidR="00472A27" w:rsidRPr="000A3F70" w:rsidRDefault="00482A54" w:rsidP="4B80308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Full-time and part-time</w:t>
            </w:r>
          </w:p>
        </w:tc>
      </w:tr>
      <w:tr w:rsidR="00472A27" w:rsidRPr="000A3F70" w:rsidTr="4B803086">
        <w:tc>
          <w:tcPr>
            <w:tcW w:w="3515"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The teaching and learning modalities</w:t>
            </w:r>
          </w:p>
        </w:tc>
        <w:tc>
          <w:tcPr>
            <w:tcW w:w="5557" w:type="dxa"/>
          </w:tcPr>
          <w:p w:rsidR="00482A54" w:rsidRPr="000A3F70" w:rsidRDefault="00482A54"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Classroom Lectures</w:t>
            </w:r>
          </w:p>
          <w:p w:rsidR="00482A54" w:rsidRPr="000A3F70" w:rsidRDefault="00482A54"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Directed e-learning</w:t>
            </w:r>
          </w:p>
          <w:p w:rsidR="00482A54" w:rsidRPr="000A3F70" w:rsidRDefault="00482A54"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Tutorials</w:t>
            </w:r>
          </w:p>
          <w:p w:rsidR="00482A54" w:rsidRPr="000A3F70" w:rsidRDefault="00482A54"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Guest Lectures delivered by researchers and practitioners in the field of addiction</w:t>
            </w:r>
          </w:p>
          <w:p w:rsidR="00482A54" w:rsidRPr="000A3F70" w:rsidRDefault="00482A54"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 xml:space="preserve">Integrative Tutorial Presentations </w:t>
            </w:r>
          </w:p>
          <w:p w:rsidR="00482A54" w:rsidRPr="000A3F70" w:rsidRDefault="00482A54"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 xml:space="preserve">Practical Skills Sessions and workshops </w:t>
            </w:r>
          </w:p>
          <w:p w:rsidR="00482A54" w:rsidRPr="000A3F70" w:rsidRDefault="00482A54"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Individual and Group Work</w:t>
            </w:r>
          </w:p>
          <w:p w:rsidR="00482A54" w:rsidRPr="000A3F70" w:rsidRDefault="00482A54"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Off campus Supervised Clinical</w:t>
            </w:r>
          </w:p>
          <w:p w:rsidR="00482A54" w:rsidRPr="000A3F70" w:rsidRDefault="00482A54"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Academic support</w:t>
            </w:r>
          </w:p>
          <w:p w:rsidR="00472A27" w:rsidRPr="000A3F70" w:rsidRDefault="00482A54" w:rsidP="00C90305">
            <w:pPr>
              <w:numPr>
                <w:ilvl w:val="0"/>
                <w:numId w:val="35"/>
              </w:numPr>
              <w:spacing w:after="0" w:line="240" w:lineRule="auto"/>
              <w:textAlignment w:val="baseline"/>
              <w:rPr>
                <w:rFonts w:ascii="Calibri" w:eastAsia="Times New Roman" w:hAnsi="Calibri" w:cs="Times New Roman"/>
                <w:szCs w:val="24"/>
                <w:lang w:val="en-GB"/>
              </w:rPr>
            </w:pPr>
            <w:r w:rsidRPr="000A3F70">
              <w:rPr>
                <w:rFonts w:ascii="Calibri" w:hAnsi="Calibri" w:cs="Calibri"/>
              </w:rPr>
              <w:t>Supervised Clinical Visits</w:t>
            </w:r>
          </w:p>
        </w:tc>
      </w:tr>
      <w:tr w:rsidR="00472A27" w:rsidRPr="000A3F70" w:rsidTr="4B803086">
        <w:tc>
          <w:tcPr>
            <w:tcW w:w="3515" w:type="dxa"/>
            <w:shd w:val="clear" w:color="auto" w:fill="DEEAF6" w:themeFill="accent1" w:themeFillTint="33"/>
          </w:tcPr>
          <w:p w:rsidR="00472A27" w:rsidRPr="000A3F70" w:rsidRDefault="00472A27" w:rsidP="001C0F0B">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Brief synopsis of the programme (e.g. who it is for, what is it for, what is involved for learners, what it leads to.)</w:t>
            </w:r>
          </w:p>
        </w:tc>
        <w:tc>
          <w:tcPr>
            <w:tcW w:w="5557" w:type="dxa"/>
          </w:tcPr>
          <w:p w:rsidR="009230AE" w:rsidRPr="00CA4763" w:rsidRDefault="009230AE" w:rsidP="009230AE">
            <w:pPr>
              <w:spacing w:after="0" w:line="240" w:lineRule="auto"/>
              <w:textAlignment w:val="baseline"/>
              <w:rPr>
                <w:rFonts w:ascii="Calibri" w:eastAsia="Times New Roman" w:hAnsi="Calibri" w:cs="Calibri"/>
                <w:lang w:val="en-GB" w:eastAsia="en-GB"/>
              </w:rPr>
            </w:pPr>
            <w:r w:rsidRPr="000A3F70">
              <w:rPr>
                <w:rFonts w:ascii="Calibri" w:eastAsia="Times New Roman" w:hAnsi="Calibri" w:cs="Calibri"/>
                <w:lang w:val="en-GB" w:eastAsia="en-GB"/>
              </w:rPr>
              <w:t>The</w:t>
            </w:r>
            <w:r w:rsidRPr="00CA4763">
              <w:rPr>
                <w:rFonts w:ascii="Calibri" w:eastAsia="Times New Roman" w:hAnsi="Calibri" w:cs="Calibri"/>
                <w:lang w:val="en-GB" w:eastAsia="en-GB"/>
              </w:rPr>
              <w:t xml:space="preserve"> programme is designed to prepare learners to be competent and effective practitioners i</w:t>
            </w:r>
            <w:r w:rsidRPr="000A3F70">
              <w:rPr>
                <w:rFonts w:ascii="Calibri" w:eastAsia="Times New Roman" w:hAnsi="Calibri" w:cs="Calibri"/>
                <w:lang w:val="en-GB" w:eastAsia="en-GB"/>
              </w:rPr>
              <w:t>n the area of addiction studies</w:t>
            </w:r>
            <w:r w:rsidRPr="00CA4763">
              <w:rPr>
                <w:rFonts w:ascii="Calibri" w:eastAsia="Times New Roman" w:hAnsi="Calibri" w:cs="Calibri"/>
                <w:lang w:val="en-GB" w:eastAsia="en-GB"/>
              </w:rPr>
              <w:t>.</w:t>
            </w:r>
            <w:r w:rsidRPr="000A3F70">
              <w:rPr>
                <w:rFonts w:ascii="Calibri" w:eastAsia="Times New Roman" w:hAnsi="Calibri" w:cs="Calibri"/>
                <w:lang w:val="en-GB" w:eastAsia="en-GB"/>
              </w:rPr>
              <w:t xml:space="preserve"> L</w:t>
            </w:r>
            <w:r w:rsidRPr="00CA4763">
              <w:rPr>
                <w:rFonts w:ascii="Calibri" w:eastAsia="Times New Roman" w:hAnsi="Calibri" w:cs="Calibri"/>
                <w:lang w:val="en-GB" w:eastAsia="en-GB"/>
              </w:rPr>
              <w:t>earners</w:t>
            </w:r>
            <w:r w:rsidRPr="000A3F70">
              <w:rPr>
                <w:rFonts w:ascii="Calibri" w:eastAsia="Times New Roman" w:hAnsi="Calibri" w:cs="Calibri"/>
                <w:lang w:val="en-GB" w:eastAsia="en-GB"/>
              </w:rPr>
              <w:t xml:space="preserve"> get</w:t>
            </w:r>
            <w:r w:rsidRPr="00CA4763">
              <w:rPr>
                <w:rFonts w:ascii="Calibri" w:eastAsia="Times New Roman" w:hAnsi="Calibri" w:cs="Calibri"/>
                <w:lang w:val="en-GB" w:eastAsia="en-GB"/>
              </w:rPr>
              <w:t xml:space="preserve"> an opportunity to develop the key professional skills, knowledge, attributes and approaches required to successfully engage in this area. Special attention is placed on the research element of this Masters so as to allow learners to investigate and deepen insights specific to the field and combine that learning with the personal learning associated with reflective practice. </w:t>
            </w:r>
          </w:p>
          <w:p w:rsidR="00472A27" w:rsidRPr="000A3F70" w:rsidRDefault="00472A27" w:rsidP="008A6885">
            <w:pPr>
              <w:spacing w:after="0" w:line="240" w:lineRule="auto"/>
              <w:rPr>
                <w:rFonts w:ascii="Calibri" w:eastAsia="Times New Roman" w:hAnsi="Calibri" w:cs="Times New Roman"/>
                <w:szCs w:val="24"/>
                <w:lang w:val="en-GB"/>
              </w:rPr>
            </w:pPr>
          </w:p>
        </w:tc>
      </w:tr>
      <w:tr w:rsidR="00472A27" w:rsidRPr="000A3F70" w:rsidTr="4B803086">
        <w:tc>
          <w:tcPr>
            <w:tcW w:w="3515" w:type="dxa"/>
            <w:shd w:val="clear" w:color="auto" w:fill="DEEAF6" w:themeFill="accent1" w:themeFillTint="33"/>
          </w:tcPr>
          <w:p w:rsidR="00472A27" w:rsidRPr="000A3F70" w:rsidRDefault="00472A27" w:rsidP="001C0F0B">
            <w:pPr>
              <w:spacing w:after="0" w:line="240" w:lineRule="auto"/>
              <w:rPr>
                <w:rFonts w:ascii="Calibri" w:eastAsia="Times New Roman" w:hAnsi="Calibri" w:cs="Arial"/>
                <w:b/>
              </w:rPr>
            </w:pPr>
            <w:r w:rsidRPr="000A3F70">
              <w:rPr>
                <w:rFonts w:ascii="Calibri" w:eastAsia="Times New Roman" w:hAnsi="Calibri" w:cs="Arial"/>
                <w:b/>
              </w:rPr>
              <w:t>Specifications for teaching staff</w:t>
            </w:r>
          </w:p>
        </w:tc>
        <w:tc>
          <w:tcPr>
            <w:tcW w:w="5557" w:type="dxa"/>
          </w:tcPr>
          <w:p w:rsidR="00472A27" w:rsidRPr="000A3F70" w:rsidRDefault="00794F57" w:rsidP="003C0752">
            <w:r w:rsidRPr="000A3F70">
              <w:rPr>
                <w:rFonts w:ascii="Calibri" w:hAnsi="Calibri" w:cs="Calibri"/>
              </w:rPr>
              <w:t>Staff lecturing on this programme will be qualified to a minimum of a full Level 9 in the area of addiction studies and related areas such as policy, psychoanalysis and psychopharmacology. The majority of staff hold Level 10 qualifications.</w:t>
            </w:r>
          </w:p>
        </w:tc>
      </w:tr>
      <w:tr w:rsidR="00472A27" w:rsidRPr="000A3F70" w:rsidTr="4B803086">
        <w:tc>
          <w:tcPr>
            <w:tcW w:w="3515" w:type="dxa"/>
            <w:shd w:val="clear" w:color="auto" w:fill="DEEAF6" w:themeFill="accent1" w:themeFillTint="33"/>
          </w:tcPr>
          <w:p w:rsidR="00472A27" w:rsidRPr="000A3F70" w:rsidRDefault="00472A27" w:rsidP="001C0F0B">
            <w:pPr>
              <w:spacing w:after="0" w:line="240" w:lineRule="auto"/>
              <w:rPr>
                <w:rFonts w:ascii="Calibri" w:eastAsia="Times New Roman" w:hAnsi="Calibri" w:cs="Arial"/>
                <w:b/>
              </w:rPr>
            </w:pPr>
            <w:r w:rsidRPr="000A3F70">
              <w:rPr>
                <w:rFonts w:ascii="Calibri" w:eastAsia="Times New Roman" w:hAnsi="Calibri" w:cs="Arial"/>
                <w:b/>
              </w:rPr>
              <w:t>Specifications for the ratio of learners to teaching-staff</w:t>
            </w:r>
          </w:p>
        </w:tc>
        <w:tc>
          <w:tcPr>
            <w:tcW w:w="5557" w:type="dxa"/>
          </w:tcPr>
          <w:p w:rsidR="003C0752" w:rsidRPr="000A3F70" w:rsidRDefault="00794F57" w:rsidP="4B803086">
            <w:pPr>
              <w:spacing w:after="0" w:line="240" w:lineRule="auto"/>
              <w:rPr>
                <w:rFonts w:cs="Arial"/>
              </w:rPr>
            </w:pPr>
            <w:r w:rsidRPr="000A3F70">
              <w:rPr>
                <w:rFonts w:cs="Arial"/>
              </w:rPr>
              <w:t>1:50 for class room sessions</w:t>
            </w:r>
          </w:p>
          <w:p w:rsidR="00794F57" w:rsidRPr="000A3F70" w:rsidRDefault="00794F57" w:rsidP="4B803086">
            <w:pPr>
              <w:spacing w:after="0" w:line="240" w:lineRule="auto"/>
              <w:rPr>
                <w:rFonts w:cs="Arial"/>
              </w:rPr>
            </w:pPr>
            <w:r w:rsidRPr="000A3F70">
              <w:rPr>
                <w:rFonts w:cs="Arial"/>
              </w:rPr>
              <w:t>1:25 for workshops</w:t>
            </w:r>
          </w:p>
          <w:p w:rsidR="00794F57" w:rsidRPr="000A3F70" w:rsidRDefault="00794F57" w:rsidP="4B803086">
            <w:pPr>
              <w:spacing w:after="0" w:line="240" w:lineRule="auto"/>
              <w:rPr>
                <w:rFonts w:cs="Arial"/>
              </w:rPr>
            </w:pPr>
            <w:r w:rsidRPr="000A3F70">
              <w:rPr>
                <w:rFonts w:cs="Arial"/>
              </w:rPr>
              <w:t>1:25 for practical sessions</w:t>
            </w:r>
          </w:p>
          <w:p w:rsidR="00794F57" w:rsidRPr="000A3F70" w:rsidRDefault="00794F57" w:rsidP="4B803086">
            <w:pPr>
              <w:spacing w:after="0" w:line="240" w:lineRule="auto"/>
              <w:rPr>
                <w:rFonts w:cs="Arial"/>
              </w:rPr>
            </w:pPr>
            <w:r w:rsidRPr="000A3F70">
              <w:rPr>
                <w:rFonts w:cs="Arial"/>
              </w:rPr>
              <w:t>1:25 for supervised clinical visits</w:t>
            </w:r>
          </w:p>
        </w:tc>
      </w:tr>
      <w:tr w:rsidR="00472A27" w:rsidRPr="000A3F70" w:rsidTr="4B803086">
        <w:tc>
          <w:tcPr>
            <w:tcW w:w="3515" w:type="dxa"/>
            <w:shd w:val="clear" w:color="auto" w:fill="DEEAF6" w:themeFill="accent1" w:themeFillTint="33"/>
          </w:tcPr>
          <w:p w:rsidR="00472A27" w:rsidRPr="000A3F70" w:rsidRDefault="00472A27" w:rsidP="001C0F0B">
            <w:pPr>
              <w:spacing w:after="0" w:line="240" w:lineRule="auto"/>
              <w:rPr>
                <w:rFonts w:ascii="Calibri" w:eastAsia="Times New Roman" w:hAnsi="Calibri" w:cs="Arial"/>
                <w:b/>
              </w:rPr>
            </w:pPr>
          </w:p>
        </w:tc>
        <w:tc>
          <w:tcPr>
            <w:tcW w:w="5557" w:type="dxa"/>
          </w:tcPr>
          <w:p w:rsidR="00472A27" w:rsidRPr="000A3F70" w:rsidRDefault="00472A27" w:rsidP="001C0F0B">
            <w:pPr>
              <w:spacing w:after="0" w:line="240" w:lineRule="auto"/>
            </w:pPr>
          </w:p>
        </w:tc>
      </w:tr>
    </w:tbl>
    <w:p w:rsidR="00472A27" w:rsidRPr="000A3F70" w:rsidRDefault="00472A27" w:rsidP="00B94E05">
      <w:pPr>
        <w:pStyle w:val="Heading2"/>
        <w:numPr>
          <w:ilvl w:val="0"/>
          <w:numId w:val="0"/>
        </w:numPr>
        <w:ind w:left="576"/>
        <w:rPr>
          <w:rFonts w:eastAsia="Times New Roman"/>
          <w:color w:val="auto"/>
          <w:lang w:val="en-GB"/>
        </w:rPr>
      </w:pPr>
    </w:p>
    <w:p w:rsidR="00B94E05" w:rsidRPr="000A3F70" w:rsidRDefault="00FC49AE" w:rsidP="00C90305">
      <w:pPr>
        <w:pStyle w:val="Heading2"/>
        <w:numPr>
          <w:ilvl w:val="1"/>
          <w:numId w:val="38"/>
        </w:numPr>
        <w:rPr>
          <w:color w:val="auto"/>
          <w:lang w:val="en-GB"/>
        </w:rPr>
      </w:pPr>
      <w:bookmarkStart w:id="34" w:name="_Toc513221599"/>
      <w:r>
        <w:rPr>
          <w:color w:val="auto"/>
          <w:lang w:val="en-GB"/>
        </w:rPr>
        <w:t>Postgraduate</w:t>
      </w:r>
      <w:r w:rsidR="00B94E05" w:rsidRPr="000A3F70">
        <w:rPr>
          <w:color w:val="auto"/>
          <w:lang w:val="en-GB"/>
        </w:rPr>
        <w:t xml:space="preserve"> Diploma in Addiction Studies</w:t>
      </w:r>
      <w:bookmarkEnd w:id="34"/>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59"/>
        <w:gridCol w:w="1559"/>
      </w:tblGrid>
      <w:tr w:rsidR="00B94E05" w:rsidRPr="000A3F70" w:rsidTr="001A1416">
        <w:tc>
          <w:tcPr>
            <w:tcW w:w="5954" w:type="dxa"/>
            <w:shd w:val="clear" w:color="auto" w:fill="DEEAF6" w:themeFill="accent1" w:themeFillTint="33"/>
          </w:tcPr>
          <w:p w:rsidR="00B94E05" w:rsidRPr="000A3F70" w:rsidRDefault="00B94E05"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Names of Centres Where the Programmes are to be provided </w:t>
            </w:r>
          </w:p>
          <w:p w:rsidR="00B94E05" w:rsidRPr="000A3F70" w:rsidRDefault="00B94E05" w:rsidP="001A1416">
            <w:pPr>
              <w:spacing w:after="0" w:line="240" w:lineRule="auto"/>
              <w:rPr>
                <w:rFonts w:ascii="Calibri" w:eastAsia="Times New Roman" w:hAnsi="Calibri" w:cs="Times New Roman"/>
                <w:b/>
                <w:szCs w:val="24"/>
                <w:lang w:val="en-GB"/>
              </w:rPr>
            </w:pPr>
          </w:p>
        </w:tc>
        <w:tc>
          <w:tcPr>
            <w:tcW w:w="1559" w:type="dxa"/>
            <w:shd w:val="clear" w:color="auto" w:fill="DEEAF6" w:themeFill="accent1" w:themeFillTint="33"/>
          </w:tcPr>
          <w:p w:rsidR="00B94E05" w:rsidRPr="000A3F70" w:rsidRDefault="00B94E05"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Maximum number of learners</w:t>
            </w:r>
          </w:p>
        </w:tc>
        <w:tc>
          <w:tcPr>
            <w:tcW w:w="1559" w:type="dxa"/>
            <w:shd w:val="clear" w:color="auto" w:fill="DEEAF6" w:themeFill="accent1" w:themeFillTint="33"/>
          </w:tcPr>
          <w:p w:rsidR="00B94E05" w:rsidRPr="000A3F70" w:rsidRDefault="00B94E05"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Minimum number of learners</w:t>
            </w:r>
          </w:p>
        </w:tc>
      </w:tr>
      <w:tr w:rsidR="00B94E05" w:rsidRPr="000A3F70" w:rsidTr="001A1416">
        <w:tc>
          <w:tcPr>
            <w:tcW w:w="5954" w:type="dxa"/>
            <w:shd w:val="clear" w:color="auto" w:fill="auto"/>
          </w:tcPr>
          <w:p w:rsidR="00B94E05" w:rsidRPr="000A3F70" w:rsidRDefault="00B94E05" w:rsidP="001A141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DBS Dublin Campus</w:t>
            </w:r>
          </w:p>
        </w:tc>
        <w:tc>
          <w:tcPr>
            <w:tcW w:w="1559" w:type="dxa"/>
            <w:shd w:val="clear" w:color="auto" w:fill="auto"/>
          </w:tcPr>
          <w:p w:rsidR="00B94E05" w:rsidRPr="000A3F70" w:rsidRDefault="00B94E05" w:rsidP="001A141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50</w:t>
            </w:r>
          </w:p>
        </w:tc>
        <w:tc>
          <w:tcPr>
            <w:tcW w:w="1559" w:type="dxa"/>
          </w:tcPr>
          <w:p w:rsidR="00B94E05" w:rsidRPr="000A3F70" w:rsidRDefault="00B94E05" w:rsidP="001A141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8</w:t>
            </w:r>
          </w:p>
        </w:tc>
      </w:tr>
    </w:tbl>
    <w:p w:rsidR="00B94E05" w:rsidRPr="000A3F70" w:rsidRDefault="00B94E05" w:rsidP="00B94E05">
      <w:pPr>
        <w:spacing w:after="0" w:line="240" w:lineRule="auto"/>
        <w:rPr>
          <w:rFonts w:ascii="Calibri" w:eastAsia="Times New Roman" w:hAnsi="Calibri" w:cs="Times New Roman"/>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557"/>
      </w:tblGrid>
      <w:tr w:rsidR="00B94E05" w:rsidRPr="000A3F70" w:rsidTr="001A1416">
        <w:tc>
          <w:tcPr>
            <w:tcW w:w="3515" w:type="dxa"/>
            <w:shd w:val="clear" w:color="auto" w:fill="DEEAF6" w:themeFill="accent1" w:themeFillTint="33"/>
          </w:tcPr>
          <w:p w:rsidR="00B94E05" w:rsidRPr="000A3F70" w:rsidRDefault="00B94E05"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Target learner groups</w:t>
            </w:r>
          </w:p>
        </w:tc>
        <w:tc>
          <w:tcPr>
            <w:tcW w:w="5557" w:type="dxa"/>
          </w:tcPr>
          <w:p w:rsidR="00B94E05" w:rsidRPr="000A3F70" w:rsidRDefault="00B94E05" w:rsidP="00C90305">
            <w:pPr>
              <w:pStyle w:val="NormalWeb"/>
              <w:numPr>
                <w:ilvl w:val="0"/>
                <w:numId w:val="37"/>
              </w:numPr>
              <w:spacing w:before="0" w:beforeAutospacing="0" w:after="0" w:afterAutospacing="0"/>
              <w:ind w:left="714"/>
              <w:textAlignment w:val="baseline"/>
              <w:rPr>
                <w:rFonts w:asciiTheme="minorHAnsi" w:eastAsiaTheme="minorHAnsi" w:hAnsiTheme="minorHAnsi" w:cstheme="minorBidi"/>
                <w:sz w:val="22"/>
                <w:szCs w:val="22"/>
                <w:lang w:eastAsia="en-US"/>
              </w:rPr>
            </w:pPr>
            <w:r w:rsidRPr="000A3F70">
              <w:rPr>
                <w:rFonts w:asciiTheme="minorHAnsi" w:eastAsiaTheme="minorHAnsi" w:hAnsiTheme="minorHAnsi" w:cstheme="minorBidi"/>
                <w:sz w:val="22"/>
                <w:szCs w:val="22"/>
                <w:lang w:eastAsia="en-US"/>
              </w:rPr>
              <w:t>Graduates with Second Class Level 8 Honours Degree (2.2) in a cognate discipline (See Section 4.2.1) from a recognised third level institution or an equivalent qualification.</w:t>
            </w:r>
          </w:p>
          <w:p w:rsidR="00B94E05" w:rsidRPr="000A3F70" w:rsidRDefault="00B94E05" w:rsidP="00C90305">
            <w:pPr>
              <w:pStyle w:val="NormalWeb"/>
              <w:numPr>
                <w:ilvl w:val="0"/>
                <w:numId w:val="37"/>
              </w:numPr>
              <w:spacing w:before="0" w:beforeAutospacing="0" w:after="0" w:afterAutospacing="0"/>
              <w:ind w:left="711"/>
              <w:textAlignment w:val="baseline"/>
              <w:rPr>
                <w:rFonts w:asciiTheme="minorHAnsi" w:eastAsiaTheme="minorHAnsi" w:hAnsiTheme="minorHAnsi" w:cstheme="minorBidi"/>
                <w:sz w:val="22"/>
                <w:szCs w:val="22"/>
                <w:lang w:eastAsia="en-US"/>
              </w:rPr>
            </w:pPr>
            <w:r w:rsidRPr="000A3F70">
              <w:rPr>
                <w:rFonts w:asciiTheme="minorHAnsi" w:eastAsiaTheme="minorHAnsi" w:hAnsiTheme="minorHAnsi" w:cstheme="minorBidi"/>
                <w:sz w:val="22"/>
                <w:szCs w:val="22"/>
                <w:lang w:eastAsia="en-US"/>
              </w:rPr>
              <w:t>Full-time/Part-time learners who may be already working in the sector and are seeking career advancement or upskilling in the area.</w:t>
            </w:r>
          </w:p>
          <w:p w:rsidR="00B94E05" w:rsidRPr="000A3F70" w:rsidRDefault="00B94E05" w:rsidP="001A1416">
            <w:pPr>
              <w:pStyle w:val="NormalWeb"/>
              <w:spacing w:before="0" w:beforeAutospacing="0" w:after="0" w:afterAutospacing="0"/>
              <w:textAlignment w:val="baseline"/>
              <w:rPr>
                <w:rFonts w:asciiTheme="minorHAnsi" w:eastAsiaTheme="minorHAnsi" w:hAnsiTheme="minorHAnsi" w:cstheme="minorBidi"/>
                <w:sz w:val="22"/>
                <w:szCs w:val="22"/>
                <w:lang w:eastAsia="en-US"/>
              </w:rPr>
            </w:pPr>
          </w:p>
          <w:p w:rsidR="00B94E05" w:rsidRPr="000A3F70" w:rsidRDefault="00B94E05" w:rsidP="001A1416">
            <w:pPr>
              <w:pStyle w:val="NormalWeb"/>
              <w:spacing w:before="0" w:beforeAutospacing="0" w:after="0" w:afterAutospacing="0"/>
              <w:textAlignment w:val="baseline"/>
              <w:rPr>
                <w:rFonts w:ascii="Calibri" w:hAnsi="Calibri"/>
              </w:rPr>
            </w:pPr>
          </w:p>
        </w:tc>
      </w:tr>
      <w:tr w:rsidR="00B94E05" w:rsidRPr="000A3F70" w:rsidTr="001A1416">
        <w:tc>
          <w:tcPr>
            <w:tcW w:w="3515" w:type="dxa"/>
            <w:shd w:val="clear" w:color="auto" w:fill="DEEAF6" w:themeFill="accent1" w:themeFillTint="33"/>
          </w:tcPr>
          <w:p w:rsidR="00B94E05" w:rsidRPr="000A3F70" w:rsidRDefault="00B94E05"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Number of learners per intake </w:t>
            </w:r>
          </w:p>
        </w:tc>
        <w:tc>
          <w:tcPr>
            <w:tcW w:w="5557" w:type="dxa"/>
          </w:tcPr>
          <w:p w:rsidR="00B94E05" w:rsidRPr="000A3F70" w:rsidRDefault="00B94E05" w:rsidP="001A141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8-50</w:t>
            </w:r>
          </w:p>
        </w:tc>
      </w:tr>
      <w:tr w:rsidR="00B94E05" w:rsidRPr="000A3F70" w:rsidTr="001A1416">
        <w:tc>
          <w:tcPr>
            <w:tcW w:w="3515" w:type="dxa"/>
            <w:shd w:val="clear" w:color="auto" w:fill="DEEAF6" w:themeFill="accent1" w:themeFillTint="33"/>
          </w:tcPr>
          <w:p w:rsidR="00B94E05" w:rsidRPr="000A3F70" w:rsidRDefault="00B94E05"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Approved countries for provision</w:t>
            </w:r>
          </w:p>
        </w:tc>
        <w:tc>
          <w:tcPr>
            <w:tcW w:w="5557" w:type="dxa"/>
          </w:tcPr>
          <w:p w:rsidR="00B94E05" w:rsidRPr="000A3F70" w:rsidRDefault="00B94E05" w:rsidP="001A141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Ireland</w:t>
            </w:r>
          </w:p>
        </w:tc>
      </w:tr>
      <w:tr w:rsidR="00B94E05" w:rsidRPr="000A3F70" w:rsidTr="001A1416">
        <w:tc>
          <w:tcPr>
            <w:tcW w:w="3515" w:type="dxa"/>
            <w:shd w:val="clear" w:color="auto" w:fill="DEEAF6" w:themeFill="accent1" w:themeFillTint="33"/>
          </w:tcPr>
          <w:p w:rsidR="00B94E05" w:rsidRPr="000A3F70" w:rsidRDefault="00B94E05"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Delivery mode: Full-time/Part-time</w:t>
            </w:r>
          </w:p>
        </w:tc>
        <w:tc>
          <w:tcPr>
            <w:tcW w:w="5557" w:type="dxa"/>
          </w:tcPr>
          <w:p w:rsidR="00B94E05" w:rsidRPr="000A3F70" w:rsidRDefault="00B94E05" w:rsidP="001A1416">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Full-time and part-time</w:t>
            </w:r>
          </w:p>
        </w:tc>
      </w:tr>
      <w:tr w:rsidR="00B94E05" w:rsidRPr="000A3F70" w:rsidTr="001A1416">
        <w:tc>
          <w:tcPr>
            <w:tcW w:w="3515" w:type="dxa"/>
            <w:shd w:val="clear" w:color="auto" w:fill="DEEAF6" w:themeFill="accent1" w:themeFillTint="33"/>
          </w:tcPr>
          <w:p w:rsidR="00B94E05" w:rsidRPr="000A3F70" w:rsidRDefault="00B94E05"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The teaching and learning modalities</w:t>
            </w:r>
          </w:p>
        </w:tc>
        <w:tc>
          <w:tcPr>
            <w:tcW w:w="5557" w:type="dxa"/>
          </w:tcPr>
          <w:p w:rsidR="00B94E05" w:rsidRPr="000A3F70" w:rsidRDefault="00B94E05"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Classroom Lectures</w:t>
            </w:r>
          </w:p>
          <w:p w:rsidR="00B94E05" w:rsidRPr="000A3F70" w:rsidRDefault="00B94E05"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Directed e-learning</w:t>
            </w:r>
          </w:p>
          <w:p w:rsidR="00B94E05" w:rsidRPr="000A3F70" w:rsidRDefault="00B94E05"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Tutorials</w:t>
            </w:r>
          </w:p>
          <w:p w:rsidR="00B94E05" w:rsidRPr="000A3F70" w:rsidRDefault="00B94E05"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Guest Lectures delivered by researchers and practitioners in the field of addiction</w:t>
            </w:r>
          </w:p>
          <w:p w:rsidR="00B94E05" w:rsidRPr="000A3F70" w:rsidRDefault="00B94E05"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 xml:space="preserve">Integrative Tutorial Presentations </w:t>
            </w:r>
          </w:p>
          <w:p w:rsidR="00B94E05" w:rsidRPr="000A3F70" w:rsidRDefault="00B94E05"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 xml:space="preserve">Practical Skills Sessions and workshops </w:t>
            </w:r>
          </w:p>
          <w:p w:rsidR="00B94E05" w:rsidRPr="000A3F70" w:rsidRDefault="00B94E05"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Individual and Group Work</w:t>
            </w:r>
          </w:p>
          <w:p w:rsidR="00B94E05" w:rsidRPr="000A3F70" w:rsidRDefault="00B94E05"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Off campus Supervised Clinical</w:t>
            </w:r>
          </w:p>
          <w:p w:rsidR="00B94E05" w:rsidRPr="000A3F70" w:rsidRDefault="00B94E05" w:rsidP="00C90305">
            <w:pPr>
              <w:numPr>
                <w:ilvl w:val="0"/>
                <w:numId w:val="35"/>
              </w:numPr>
              <w:spacing w:after="0" w:line="240" w:lineRule="auto"/>
              <w:textAlignment w:val="baseline"/>
              <w:rPr>
                <w:rFonts w:ascii="Noto Sans Symbols" w:eastAsia="Times New Roman" w:hAnsi="Noto Sans Symbols" w:cs="Times New Roman"/>
                <w:lang w:val="en-GB" w:eastAsia="en-GB"/>
              </w:rPr>
            </w:pPr>
            <w:r w:rsidRPr="000A3F70">
              <w:rPr>
                <w:rFonts w:ascii="Calibri" w:eastAsia="Times New Roman" w:hAnsi="Calibri" w:cs="Calibri"/>
                <w:lang w:val="en-GB" w:eastAsia="en-GB"/>
              </w:rPr>
              <w:t>Academic support</w:t>
            </w:r>
          </w:p>
          <w:p w:rsidR="00B94E05" w:rsidRPr="000A3F70" w:rsidRDefault="00B94E05" w:rsidP="00C90305">
            <w:pPr>
              <w:numPr>
                <w:ilvl w:val="0"/>
                <w:numId w:val="35"/>
              </w:numPr>
              <w:spacing w:after="0" w:line="240" w:lineRule="auto"/>
              <w:textAlignment w:val="baseline"/>
              <w:rPr>
                <w:rFonts w:ascii="Calibri" w:eastAsia="Times New Roman" w:hAnsi="Calibri" w:cs="Times New Roman"/>
                <w:szCs w:val="24"/>
                <w:lang w:val="en-GB"/>
              </w:rPr>
            </w:pPr>
            <w:r w:rsidRPr="000A3F70">
              <w:rPr>
                <w:rFonts w:ascii="Calibri" w:hAnsi="Calibri" w:cs="Calibri"/>
              </w:rPr>
              <w:t>Supervised Clinical Visits</w:t>
            </w:r>
          </w:p>
        </w:tc>
      </w:tr>
      <w:tr w:rsidR="00B94E05" w:rsidRPr="000A3F70" w:rsidTr="001A1416">
        <w:tc>
          <w:tcPr>
            <w:tcW w:w="3515" w:type="dxa"/>
            <w:shd w:val="clear" w:color="auto" w:fill="DEEAF6" w:themeFill="accent1" w:themeFillTint="33"/>
          </w:tcPr>
          <w:p w:rsidR="00B94E05" w:rsidRPr="000A3F70" w:rsidRDefault="00B94E05" w:rsidP="001A1416">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Brief synopsis of the programme (e.g. who it is for, what is it for, what is involved for learners, what it leads to.)</w:t>
            </w:r>
          </w:p>
        </w:tc>
        <w:tc>
          <w:tcPr>
            <w:tcW w:w="5557" w:type="dxa"/>
          </w:tcPr>
          <w:p w:rsidR="00B94E05" w:rsidRPr="00CA4763" w:rsidRDefault="00B94E05" w:rsidP="001A1416">
            <w:pPr>
              <w:spacing w:after="0" w:line="240" w:lineRule="auto"/>
              <w:textAlignment w:val="baseline"/>
              <w:rPr>
                <w:rFonts w:ascii="Calibri" w:eastAsia="Times New Roman" w:hAnsi="Calibri" w:cs="Calibri"/>
                <w:lang w:val="en-GB" w:eastAsia="en-GB"/>
              </w:rPr>
            </w:pPr>
            <w:r w:rsidRPr="000A3F70">
              <w:rPr>
                <w:rFonts w:ascii="Calibri" w:eastAsia="Times New Roman" w:hAnsi="Calibri" w:cs="Calibri"/>
                <w:lang w:val="en-GB" w:eastAsia="en-GB"/>
              </w:rPr>
              <w:t>The</w:t>
            </w:r>
            <w:r w:rsidRPr="00CA4763">
              <w:rPr>
                <w:rFonts w:ascii="Calibri" w:eastAsia="Times New Roman" w:hAnsi="Calibri" w:cs="Calibri"/>
                <w:lang w:val="en-GB" w:eastAsia="en-GB"/>
              </w:rPr>
              <w:t xml:space="preserve"> programme is designed to prepare learners to be competent and effective practitioners i</w:t>
            </w:r>
            <w:r w:rsidRPr="000A3F70">
              <w:rPr>
                <w:rFonts w:ascii="Calibri" w:eastAsia="Times New Roman" w:hAnsi="Calibri" w:cs="Calibri"/>
                <w:lang w:val="en-GB" w:eastAsia="en-GB"/>
              </w:rPr>
              <w:t>n the area of addiction studies</w:t>
            </w:r>
            <w:r w:rsidRPr="00CA4763">
              <w:rPr>
                <w:rFonts w:ascii="Calibri" w:eastAsia="Times New Roman" w:hAnsi="Calibri" w:cs="Calibri"/>
                <w:lang w:val="en-GB" w:eastAsia="en-GB"/>
              </w:rPr>
              <w:t>.</w:t>
            </w:r>
            <w:r w:rsidRPr="000A3F70">
              <w:rPr>
                <w:rFonts w:ascii="Calibri" w:eastAsia="Times New Roman" w:hAnsi="Calibri" w:cs="Calibri"/>
                <w:lang w:val="en-GB" w:eastAsia="en-GB"/>
              </w:rPr>
              <w:t xml:space="preserve"> L</w:t>
            </w:r>
            <w:r w:rsidRPr="00CA4763">
              <w:rPr>
                <w:rFonts w:ascii="Calibri" w:eastAsia="Times New Roman" w:hAnsi="Calibri" w:cs="Calibri"/>
                <w:lang w:val="en-GB" w:eastAsia="en-GB"/>
              </w:rPr>
              <w:t>earners</w:t>
            </w:r>
            <w:r w:rsidRPr="000A3F70">
              <w:rPr>
                <w:rFonts w:ascii="Calibri" w:eastAsia="Times New Roman" w:hAnsi="Calibri" w:cs="Calibri"/>
                <w:lang w:val="en-GB" w:eastAsia="en-GB"/>
              </w:rPr>
              <w:t xml:space="preserve"> get</w:t>
            </w:r>
            <w:r w:rsidRPr="00CA4763">
              <w:rPr>
                <w:rFonts w:ascii="Calibri" w:eastAsia="Times New Roman" w:hAnsi="Calibri" w:cs="Calibri"/>
                <w:lang w:val="en-GB" w:eastAsia="en-GB"/>
              </w:rPr>
              <w:t xml:space="preserve"> an opportunity to develop the key professional skills, knowledge, attributes and approaches required to successfully engage in this area. Special attention is placed on the research element of this Masters so as to allow learners to investigate and deepen insights specific to the field and combine that learning with the personal learning associated with reflective practice. </w:t>
            </w:r>
          </w:p>
          <w:p w:rsidR="00B94E05" w:rsidRPr="000A3F70" w:rsidRDefault="00B94E05" w:rsidP="001A1416">
            <w:pPr>
              <w:spacing w:after="0" w:line="240" w:lineRule="auto"/>
              <w:rPr>
                <w:rFonts w:ascii="Calibri" w:eastAsia="Times New Roman" w:hAnsi="Calibri" w:cs="Times New Roman"/>
                <w:szCs w:val="24"/>
                <w:lang w:val="en-GB"/>
              </w:rPr>
            </w:pPr>
          </w:p>
        </w:tc>
      </w:tr>
      <w:tr w:rsidR="00B94E05" w:rsidRPr="000A3F70" w:rsidTr="001A1416">
        <w:tc>
          <w:tcPr>
            <w:tcW w:w="3515" w:type="dxa"/>
            <w:shd w:val="clear" w:color="auto" w:fill="DEEAF6" w:themeFill="accent1" w:themeFillTint="33"/>
          </w:tcPr>
          <w:p w:rsidR="00B94E05" w:rsidRPr="000A3F70" w:rsidRDefault="00B94E05" w:rsidP="001A1416">
            <w:pPr>
              <w:spacing w:after="0" w:line="240" w:lineRule="auto"/>
              <w:rPr>
                <w:rFonts w:ascii="Calibri" w:eastAsia="Times New Roman" w:hAnsi="Calibri" w:cs="Arial"/>
                <w:b/>
              </w:rPr>
            </w:pPr>
            <w:r w:rsidRPr="000A3F70">
              <w:rPr>
                <w:rFonts w:ascii="Calibri" w:eastAsia="Times New Roman" w:hAnsi="Calibri" w:cs="Arial"/>
                <w:b/>
              </w:rPr>
              <w:t>Specifications for teaching staff</w:t>
            </w:r>
          </w:p>
        </w:tc>
        <w:tc>
          <w:tcPr>
            <w:tcW w:w="5557" w:type="dxa"/>
          </w:tcPr>
          <w:p w:rsidR="00B94E05" w:rsidRPr="000A3F70" w:rsidRDefault="00B94E05" w:rsidP="001A1416">
            <w:r w:rsidRPr="000A3F70">
              <w:rPr>
                <w:rFonts w:ascii="Calibri" w:hAnsi="Calibri" w:cs="Calibri"/>
              </w:rPr>
              <w:t>Staff lecturing on this programme will be qualified to a minimum of a full Level 9 in the area of addiction studies and related areas such as policy, psychoanalysis and psychopharmacology. The majority of staff hold Level 10 qualifications.</w:t>
            </w:r>
          </w:p>
        </w:tc>
      </w:tr>
      <w:tr w:rsidR="00B94E05" w:rsidRPr="000A3F70" w:rsidTr="001A1416">
        <w:tc>
          <w:tcPr>
            <w:tcW w:w="3515" w:type="dxa"/>
            <w:shd w:val="clear" w:color="auto" w:fill="DEEAF6" w:themeFill="accent1" w:themeFillTint="33"/>
          </w:tcPr>
          <w:p w:rsidR="00B94E05" w:rsidRPr="000A3F70" w:rsidRDefault="00B94E05" w:rsidP="001A1416">
            <w:pPr>
              <w:spacing w:after="0" w:line="240" w:lineRule="auto"/>
              <w:rPr>
                <w:rFonts w:ascii="Calibri" w:eastAsia="Times New Roman" w:hAnsi="Calibri" w:cs="Arial"/>
                <w:b/>
              </w:rPr>
            </w:pPr>
            <w:r w:rsidRPr="000A3F70">
              <w:rPr>
                <w:rFonts w:ascii="Calibri" w:eastAsia="Times New Roman" w:hAnsi="Calibri" w:cs="Arial"/>
                <w:b/>
              </w:rPr>
              <w:t>Specifications for the ratio of learners to teaching-staff</w:t>
            </w:r>
          </w:p>
        </w:tc>
        <w:tc>
          <w:tcPr>
            <w:tcW w:w="5557" w:type="dxa"/>
          </w:tcPr>
          <w:p w:rsidR="00B94E05" w:rsidRPr="000A3F70" w:rsidRDefault="00B94E05" w:rsidP="001A1416">
            <w:pPr>
              <w:spacing w:after="0" w:line="240" w:lineRule="auto"/>
              <w:rPr>
                <w:rFonts w:cs="Arial"/>
              </w:rPr>
            </w:pPr>
            <w:r w:rsidRPr="000A3F70">
              <w:rPr>
                <w:rFonts w:cs="Arial"/>
              </w:rPr>
              <w:t>1:50 for class room sessions</w:t>
            </w:r>
          </w:p>
          <w:p w:rsidR="00B94E05" w:rsidRPr="000A3F70" w:rsidRDefault="00B94E05" w:rsidP="001A1416">
            <w:pPr>
              <w:spacing w:after="0" w:line="240" w:lineRule="auto"/>
              <w:rPr>
                <w:rFonts w:cs="Arial"/>
              </w:rPr>
            </w:pPr>
            <w:r w:rsidRPr="000A3F70">
              <w:rPr>
                <w:rFonts w:cs="Arial"/>
              </w:rPr>
              <w:t>1:25 for workshops</w:t>
            </w:r>
          </w:p>
          <w:p w:rsidR="00B94E05" w:rsidRPr="000A3F70" w:rsidRDefault="00B94E05" w:rsidP="001A1416">
            <w:pPr>
              <w:spacing w:after="0" w:line="240" w:lineRule="auto"/>
              <w:rPr>
                <w:rFonts w:cs="Arial"/>
              </w:rPr>
            </w:pPr>
            <w:r w:rsidRPr="000A3F70">
              <w:rPr>
                <w:rFonts w:cs="Arial"/>
              </w:rPr>
              <w:t>1:25 for practical sessions</w:t>
            </w:r>
          </w:p>
          <w:p w:rsidR="00B94E05" w:rsidRPr="000A3F70" w:rsidRDefault="00B94E05" w:rsidP="001A1416">
            <w:pPr>
              <w:spacing w:after="0" w:line="240" w:lineRule="auto"/>
              <w:rPr>
                <w:rFonts w:cs="Arial"/>
              </w:rPr>
            </w:pPr>
            <w:r w:rsidRPr="000A3F70">
              <w:rPr>
                <w:rFonts w:cs="Arial"/>
              </w:rPr>
              <w:t>1:25 for supervised clinical visits</w:t>
            </w:r>
          </w:p>
        </w:tc>
      </w:tr>
      <w:tr w:rsidR="00B94E05" w:rsidRPr="000A3F70" w:rsidTr="001A1416">
        <w:tc>
          <w:tcPr>
            <w:tcW w:w="3515" w:type="dxa"/>
            <w:shd w:val="clear" w:color="auto" w:fill="DEEAF6" w:themeFill="accent1" w:themeFillTint="33"/>
          </w:tcPr>
          <w:p w:rsidR="00B94E05" w:rsidRPr="000A3F70" w:rsidRDefault="00B94E05" w:rsidP="001A1416">
            <w:pPr>
              <w:spacing w:after="0" w:line="240" w:lineRule="auto"/>
              <w:rPr>
                <w:rFonts w:ascii="Calibri" w:eastAsia="Times New Roman" w:hAnsi="Calibri" w:cs="Arial"/>
                <w:b/>
              </w:rPr>
            </w:pPr>
          </w:p>
        </w:tc>
        <w:tc>
          <w:tcPr>
            <w:tcW w:w="5557" w:type="dxa"/>
          </w:tcPr>
          <w:p w:rsidR="00B94E05" w:rsidRPr="000A3F70" w:rsidRDefault="00B94E05" w:rsidP="001A1416">
            <w:pPr>
              <w:spacing w:after="0" w:line="240" w:lineRule="auto"/>
            </w:pPr>
          </w:p>
        </w:tc>
      </w:tr>
    </w:tbl>
    <w:p w:rsidR="00B94E05" w:rsidRPr="000A3F70" w:rsidRDefault="00B94E05" w:rsidP="00B94E05">
      <w:pPr>
        <w:spacing w:after="0" w:line="240" w:lineRule="auto"/>
        <w:rPr>
          <w:rFonts w:ascii="Calibri" w:eastAsia="Times New Roman" w:hAnsi="Calibri" w:cs="Times New Roman"/>
          <w:szCs w:val="24"/>
          <w:lang w:val="en-GB"/>
        </w:rPr>
      </w:pPr>
    </w:p>
    <w:p w:rsidR="005C0200" w:rsidRPr="000A3F70" w:rsidRDefault="005C0200" w:rsidP="005C0200"/>
    <w:p w:rsidR="00483C1F" w:rsidRPr="000A3F70" w:rsidRDefault="00483C1F" w:rsidP="00483C1F">
      <w:pPr>
        <w:pStyle w:val="Heading2"/>
        <w:rPr>
          <w:color w:val="auto"/>
        </w:rPr>
      </w:pPr>
      <w:bookmarkStart w:id="35" w:name="_Toc513221600"/>
      <w:r w:rsidRPr="000A3F70">
        <w:rPr>
          <w:color w:val="auto"/>
        </w:rPr>
        <w:t>Principal Programme MA in Psychoanalytic Psychotherapy</w:t>
      </w:r>
      <w:bookmarkEnd w:id="3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559"/>
        <w:gridCol w:w="1559"/>
      </w:tblGrid>
      <w:tr w:rsidR="00483C1F" w:rsidRPr="000A3F70" w:rsidTr="001F41E1">
        <w:tc>
          <w:tcPr>
            <w:tcW w:w="5954" w:type="dxa"/>
            <w:shd w:val="clear" w:color="auto" w:fill="DEEAF6" w:themeFill="accent1" w:themeFillTint="33"/>
          </w:tcPr>
          <w:p w:rsidR="00483C1F" w:rsidRPr="000A3F70" w:rsidRDefault="00483C1F"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Names of Centres Where the Programmes are to be provided </w:t>
            </w:r>
          </w:p>
          <w:p w:rsidR="00483C1F" w:rsidRPr="000A3F70" w:rsidRDefault="00483C1F" w:rsidP="001F41E1">
            <w:pPr>
              <w:spacing w:after="0" w:line="240" w:lineRule="auto"/>
              <w:rPr>
                <w:rFonts w:ascii="Calibri" w:eastAsia="Times New Roman" w:hAnsi="Calibri" w:cs="Times New Roman"/>
                <w:b/>
                <w:szCs w:val="24"/>
                <w:lang w:val="en-GB"/>
              </w:rPr>
            </w:pPr>
          </w:p>
        </w:tc>
        <w:tc>
          <w:tcPr>
            <w:tcW w:w="1559" w:type="dxa"/>
            <w:shd w:val="clear" w:color="auto" w:fill="DEEAF6" w:themeFill="accent1" w:themeFillTint="33"/>
          </w:tcPr>
          <w:p w:rsidR="00483C1F" w:rsidRPr="000A3F70" w:rsidRDefault="00483C1F"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Maximum number of learners</w:t>
            </w:r>
          </w:p>
        </w:tc>
        <w:tc>
          <w:tcPr>
            <w:tcW w:w="1559" w:type="dxa"/>
            <w:shd w:val="clear" w:color="auto" w:fill="DEEAF6" w:themeFill="accent1" w:themeFillTint="33"/>
          </w:tcPr>
          <w:p w:rsidR="00483C1F" w:rsidRPr="000A3F70" w:rsidRDefault="00483C1F"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Minimum number of learners</w:t>
            </w:r>
          </w:p>
        </w:tc>
      </w:tr>
      <w:tr w:rsidR="00483C1F" w:rsidRPr="000A3F70" w:rsidTr="001F41E1">
        <w:tc>
          <w:tcPr>
            <w:tcW w:w="5954" w:type="dxa"/>
            <w:shd w:val="clear" w:color="auto" w:fill="auto"/>
          </w:tcPr>
          <w:p w:rsidR="00483C1F" w:rsidRPr="000A3F70" w:rsidRDefault="00483C1F"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DBS Dublin Campus</w:t>
            </w:r>
          </w:p>
        </w:tc>
        <w:tc>
          <w:tcPr>
            <w:tcW w:w="1559" w:type="dxa"/>
            <w:shd w:val="clear" w:color="auto" w:fill="auto"/>
          </w:tcPr>
          <w:p w:rsidR="00483C1F"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24</w:t>
            </w:r>
          </w:p>
        </w:tc>
        <w:tc>
          <w:tcPr>
            <w:tcW w:w="1559" w:type="dxa"/>
          </w:tcPr>
          <w:p w:rsidR="00483C1F"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10</w:t>
            </w:r>
          </w:p>
        </w:tc>
      </w:tr>
      <w:tr w:rsidR="00BD0B41" w:rsidRPr="000A3F70" w:rsidTr="001F41E1">
        <w:tc>
          <w:tcPr>
            <w:tcW w:w="5954" w:type="dxa"/>
            <w:shd w:val="clear" w:color="auto" w:fill="auto"/>
          </w:tcPr>
          <w:p w:rsidR="00BD0B41" w:rsidRPr="000A3F70" w:rsidRDefault="00BD0B41" w:rsidP="001F41E1">
            <w:pPr>
              <w:spacing w:after="0" w:line="240" w:lineRule="auto"/>
              <w:rPr>
                <w:rFonts w:ascii="Calibri" w:eastAsia="Times New Roman" w:hAnsi="Calibri" w:cs="Times New Roman"/>
                <w:lang w:val="en-GB"/>
              </w:rPr>
            </w:pPr>
            <w:r w:rsidRPr="000A3F70">
              <w:rPr>
                <w:rFonts w:ascii="Calibri" w:hAnsi="Calibri" w:cs="Calibri"/>
              </w:rPr>
              <w:t>St Vincent’s University Hospital</w:t>
            </w:r>
          </w:p>
        </w:tc>
        <w:tc>
          <w:tcPr>
            <w:tcW w:w="1559" w:type="dxa"/>
            <w:shd w:val="clear" w:color="auto" w:fill="auto"/>
          </w:tcPr>
          <w:p w:rsidR="00D86505" w:rsidRPr="000A3F70" w:rsidRDefault="00D86505" w:rsidP="001F41E1">
            <w:pPr>
              <w:spacing w:after="0" w:line="240" w:lineRule="auto"/>
              <w:rPr>
                <w:rFonts w:ascii="Calibri" w:eastAsia="Times New Roman" w:hAnsi="Calibri" w:cs="Times New Roman"/>
                <w:lang w:val="en-GB"/>
              </w:rPr>
            </w:pPr>
            <w:r>
              <w:rPr>
                <w:rFonts w:ascii="Calibri" w:eastAsia="Times New Roman" w:hAnsi="Calibri" w:cs="Times New Roman"/>
                <w:lang w:val="en-GB"/>
              </w:rPr>
              <w:t>24</w:t>
            </w:r>
          </w:p>
        </w:tc>
        <w:tc>
          <w:tcPr>
            <w:tcW w:w="1559" w:type="dxa"/>
          </w:tcPr>
          <w:p w:rsidR="00BD0B41"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10</w:t>
            </w:r>
          </w:p>
        </w:tc>
      </w:tr>
      <w:tr w:rsidR="00BD0B41" w:rsidRPr="000A3F70" w:rsidTr="001F41E1">
        <w:tc>
          <w:tcPr>
            <w:tcW w:w="5954" w:type="dxa"/>
            <w:shd w:val="clear" w:color="auto" w:fill="auto"/>
          </w:tcPr>
          <w:p w:rsidR="00BD0B41" w:rsidRPr="000A3F70" w:rsidRDefault="00BD0B41" w:rsidP="001F41E1">
            <w:pPr>
              <w:spacing w:after="0" w:line="240" w:lineRule="auto"/>
              <w:rPr>
                <w:rFonts w:ascii="Calibri" w:hAnsi="Calibri" w:cs="Calibri"/>
              </w:rPr>
            </w:pPr>
            <w:r w:rsidRPr="000A3F70">
              <w:rPr>
                <w:rFonts w:ascii="Calibri" w:hAnsi="Calibri" w:cs="Calibri"/>
              </w:rPr>
              <w:t>Various Placement Settings</w:t>
            </w:r>
          </w:p>
        </w:tc>
        <w:tc>
          <w:tcPr>
            <w:tcW w:w="1559" w:type="dxa"/>
            <w:shd w:val="clear" w:color="auto" w:fill="auto"/>
          </w:tcPr>
          <w:p w:rsidR="00BD0B41"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1 /2</w:t>
            </w:r>
          </w:p>
        </w:tc>
        <w:tc>
          <w:tcPr>
            <w:tcW w:w="1559" w:type="dxa"/>
          </w:tcPr>
          <w:p w:rsidR="00BD0B41"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1</w:t>
            </w:r>
          </w:p>
        </w:tc>
      </w:tr>
      <w:tr w:rsidR="00BD0B41" w:rsidRPr="000A3F70" w:rsidTr="001F41E1">
        <w:tc>
          <w:tcPr>
            <w:tcW w:w="5954" w:type="dxa"/>
            <w:shd w:val="clear" w:color="auto" w:fill="auto"/>
          </w:tcPr>
          <w:p w:rsidR="00BD0B41" w:rsidRPr="000A3F70" w:rsidRDefault="00BD0B41" w:rsidP="001F41E1">
            <w:pPr>
              <w:spacing w:after="0" w:line="240" w:lineRule="auto"/>
              <w:rPr>
                <w:rFonts w:ascii="Calibri" w:hAnsi="Calibri" w:cs="Calibri"/>
              </w:rPr>
            </w:pPr>
            <w:r w:rsidRPr="000A3F70">
              <w:rPr>
                <w:rFonts w:ascii="Calibri" w:hAnsi="Calibri" w:cs="Calibri"/>
              </w:rPr>
              <w:t>Infant Observation takes place in the home of the mother and infant participating in the observation</w:t>
            </w:r>
          </w:p>
        </w:tc>
        <w:tc>
          <w:tcPr>
            <w:tcW w:w="1559" w:type="dxa"/>
            <w:shd w:val="clear" w:color="auto" w:fill="auto"/>
          </w:tcPr>
          <w:p w:rsidR="00BD0B41"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1</w:t>
            </w:r>
          </w:p>
        </w:tc>
        <w:tc>
          <w:tcPr>
            <w:tcW w:w="1559" w:type="dxa"/>
          </w:tcPr>
          <w:p w:rsidR="00BD0B41"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1</w:t>
            </w:r>
          </w:p>
        </w:tc>
      </w:tr>
    </w:tbl>
    <w:p w:rsidR="00483C1F" w:rsidRPr="000A3F70" w:rsidRDefault="00483C1F" w:rsidP="00483C1F"/>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557"/>
      </w:tblGrid>
      <w:tr w:rsidR="00483C1F" w:rsidRPr="000A3F70" w:rsidTr="001F41E1">
        <w:tc>
          <w:tcPr>
            <w:tcW w:w="3515" w:type="dxa"/>
            <w:shd w:val="clear" w:color="auto" w:fill="DEEAF6" w:themeFill="accent1" w:themeFillTint="33"/>
          </w:tcPr>
          <w:p w:rsidR="00483C1F" w:rsidRPr="000A3F70" w:rsidRDefault="00483C1F"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Target learner groups</w:t>
            </w:r>
          </w:p>
        </w:tc>
        <w:tc>
          <w:tcPr>
            <w:tcW w:w="5557" w:type="dxa"/>
          </w:tcPr>
          <w:p w:rsidR="00483C1F" w:rsidRPr="000A3F70" w:rsidRDefault="00BD0B41" w:rsidP="00BD0B41">
            <w:pPr>
              <w:pStyle w:val="NormalWeb"/>
              <w:spacing w:before="0" w:beforeAutospacing="0" w:after="0" w:afterAutospacing="0"/>
              <w:textAlignment w:val="baseline"/>
              <w:rPr>
                <w:rFonts w:ascii="Calibri" w:hAnsi="Calibri" w:cs="Calibri"/>
                <w:sz w:val="22"/>
                <w:szCs w:val="22"/>
              </w:rPr>
            </w:pPr>
            <w:r w:rsidRPr="000A3F70">
              <w:rPr>
                <w:rFonts w:ascii="Calibri" w:hAnsi="Calibri" w:cs="Calibri"/>
                <w:sz w:val="22"/>
                <w:szCs w:val="22"/>
              </w:rPr>
              <w:t>Graduates of related or unrelated disciplines who have encountered psychoanalysis in some capacity and have been drawn to pursue formal study and training in the field. They may or may not have engaged in prior formal study of psychoanalysis but will possibly have been involved, educationally and/or experientially in areas related to psychology or psychotherapy. The programme is aimed at those who wish to acquire a postgraduate qualification in psychotherapy based on psychoanalysis.</w:t>
            </w:r>
          </w:p>
        </w:tc>
      </w:tr>
      <w:tr w:rsidR="00483C1F" w:rsidRPr="000A3F70" w:rsidTr="001F41E1">
        <w:tc>
          <w:tcPr>
            <w:tcW w:w="3515" w:type="dxa"/>
            <w:shd w:val="clear" w:color="auto" w:fill="DEEAF6" w:themeFill="accent1" w:themeFillTint="33"/>
          </w:tcPr>
          <w:p w:rsidR="00483C1F" w:rsidRPr="000A3F70" w:rsidRDefault="00483C1F"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 xml:space="preserve">Number of learners per intake </w:t>
            </w:r>
          </w:p>
        </w:tc>
        <w:tc>
          <w:tcPr>
            <w:tcW w:w="5557" w:type="dxa"/>
          </w:tcPr>
          <w:p w:rsidR="00483C1F"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Min 5 &amp; Max 12</w:t>
            </w:r>
          </w:p>
        </w:tc>
      </w:tr>
      <w:tr w:rsidR="00483C1F" w:rsidRPr="000A3F70" w:rsidTr="001F41E1">
        <w:tc>
          <w:tcPr>
            <w:tcW w:w="3515" w:type="dxa"/>
            <w:shd w:val="clear" w:color="auto" w:fill="DEEAF6" w:themeFill="accent1" w:themeFillTint="33"/>
          </w:tcPr>
          <w:p w:rsidR="00483C1F" w:rsidRPr="000A3F70" w:rsidRDefault="00483C1F"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Approved countries for provision</w:t>
            </w:r>
          </w:p>
        </w:tc>
        <w:tc>
          <w:tcPr>
            <w:tcW w:w="5557" w:type="dxa"/>
          </w:tcPr>
          <w:p w:rsidR="00483C1F"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Ireland</w:t>
            </w:r>
          </w:p>
        </w:tc>
      </w:tr>
      <w:tr w:rsidR="00483C1F" w:rsidRPr="000A3F70" w:rsidTr="001F41E1">
        <w:tc>
          <w:tcPr>
            <w:tcW w:w="3515" w:type="dxa"/>
            <w:shd w:val="clear" w:color="auto" w:fill="DEEAF6" w:themeFill="accent1" w:themeFillTint="33"/>
          </w:tcPr>
          <w:p w:rsidR="00483C1F" w:rsidRPr="000A3F70" w:rsidRDefault="00483C1F"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Delivery mode: Full-time/Part-time</w:t>
            </w:r>
          </w:p>
        </w:tc>
        <w:tc>
          <w:tcPr>
            <w:tcW w:w="5557" w:type="dxa"/>
          </w:tcPr>
          <w:p w:rsidR="00483C1F" w:rsidRPr="000A3F70" w:rsidRDefault="00BD0B41" w:rsidP="001F41E1">
            <w:pPr>
              <w:spacing w:after="0" w:line="240" w:lineRule="auto"/>
              <w:rPr>
                <w:rFonts w:ascii="Calibri" w:eastAsia="Times New Roman" w:hAnsi="Calibri" w:cs="Times New Roman"/>
                <w:lang w:val="en-GB"/>
              </w:rPr>
            </w:pPr>
            <w:r w:rsidRPr="000A3F70">
              <w:rPr>
                <w:rFonts w:ascii="Calibri" w:eastAsia="Times New Roman" w:hAnsi="Calibri" w:cs="Times New Roman"/>
                <w:lang w:val="en-GB"/>
              </w:rPr>
              <w:t>Part-time</w:t>
            </w:r>
          </w:p>
        </w:tc>
      </w:tr>
      <w:tr w:rsidR="00483C1F" w:rsidRPr="000A3F70" w:rsidTr="001F41E1">
        <w:tc>
          <w:tcPr>
            <w:tcW w:w="3515" w:type="dxa"/>
            <w:shd w:val="clear" w:color="auto" w:fill="DEEAF6" w:themeFill="accent1" w:themeFillTint="33"/>
          </w:tcPr>
          <w:p w:rsidR="00483C1F" w:rsidRPr="000A3F70" w:rsidRDefault="00483C1F"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The teaching and learning modalities</w:t>
            </w:r>
          </w:p>
        </w:tc>
        <w:tc>
          <w:tcPr>
            <w:tcW w:w="5557" w:type="dxa"/>
          </w:tcPr>
          <w:p w:rsidR="00BD0B41" w:rsidRPr="000A3F70" w:rsidRDefault="00BD0B41" w:rsidP="00C90305">
            <w:pPr>
              <w:numPr>
                <w:ilvl w:val="0"/>
                <w:numId w:val="34"/>
              </w:numPr>
              <w:spacing w:after="0" w:line="240" w:lineRule="auto"/>
              <w:jc w:val="both"/>
              <w:textAlignment w:val="baseline"/>
              <w:rPr>
                <w:rFonts w:ascii="Calibri" w:eastAsia="Times New Roman" w:hAnsi="Calibri" w:cs="Calibri"/>
                <w:lang w:val="en-GB" w:eastAsia="en-GB"/>
              </w:rPr>
            </w:pPr>
            <w:r w:rsidRPr="000A3F70">
              <w:rPr>
                <w:rFonts w:ascii="Calibri" w:eastAsia="Times New Roman" w:hAnsi="Calibri" w:cs="Calibri"/>
                <w:lang w:val="en-GB" w:eastAsia="en-GB"/>
              </w:rPr>
              <w:t>Class room lecture</w:t>
            </w:r>
          </w:p>
          <w:p w:rsidR="00BD0B41" w:rsidRPr="000A3F70" w:rsidRDefault="00BD0B41" w:rsidP="00C90305">
            <w:pPr>
              <w:numPr>
                <w:ilvl w:val="0"/>
                <w:numId w:val="34"/>
              </w:numPr>
              <w:spacing w:after="0" w:line="240" w:lineRule="auto"/>
              <w:jc w:val="both"/>
              <w:textAlignment w:val="baseline"/>
              <w:rPr>
                <w:rFonts w:ascii="Calibri" w:eastAsia="Times New Roman" w:hAnsi="Calibri" w:cs="Calibri"/>
                <w:lang w:val="en-GB" w:eastAsia="en-GB"/>
              </w:rPr>
            </w:pPr>
            <w:r w:rsidRPr="000A3F70">
              <w:rPr>
                <w:rFonts w:ascii="Calibri" w:eastAsia="Times New Roman" w:hAnsi="Calibri" w:cs="Calibri"/>
                <w:lang w:val="en-GB" w:eastAsia="en-GB"/>
              </w:rPr>
              <w:t>Psychiatric Case Conference</w:t>
            </w:r>
          </w:p>
          <w:p w:rsidR="00BD0B41" w:rsidRPr="000A3F70" w:rsidRDefault="00BD0B41" w:rsidP="00C90305">
            <w:pPr>
              <w:numPr>
                <w:ilvl w:val="0"/>
                <w:numId w:val="34"/>
              </w:numPr>
              <w:spacing w:after="0" w:line="240" w:lineRule="auto"/>
              <w:jc w:val="both"/>
              <w:textAlignment w:val="baseline"/>
              <w:rPr>
                <w:rFonts w:ascii="Calibri" w:eastAsia="Times New Roman" w:hAnsi="Calibri" w:cs="Calibri"/>
                <w:lang w:val="en-GB" w:eastAsia="en-GB"/>
              </w:rPr>
            </w:pPr>
            <w:r w:rsidRPr="000A3F70">
              <w:rPr>
                <w:rFonts w:ascii="Calibri" w:eastAsia="Times New Roman" w:hAnsi="Calibri" w:cs="Calibri"/>
                <w:lang w:val="en-GB" w:eastAsia="en-GB"/>
              </w:rPr>
              <w:t>Seminar</w:t>
            </w:r>
          </w:p>
          <w:p w:rsidR="00BD0B41" w:rsidRPr="000A3F70" w:rsidRDefault="00BD0B41" w:rsidP="00C90305">
            <w:pPr>
              <w:numPr>
                <w:ilvl w:val="0"/>
                <w:numId w:val="34"/>
              </w:numPr>
              <w:spacing w:after="0" w:line="240" w:lineRule="auto"/>
              <w:jc w:val="both"/>
              <w:textAlignment w:val="baseline"/>
              <w:rPr>
                <w:rFonts w:ascii="Calibri" w:eastAsia="Times New Roman" w:hAnsi="Calibri" w:cs="Calibri"/>
                <w:lang w:val="en-GB" w:eastAsia="en-GB"/>
              </w:rPr>
            </w:pPr>
            <w:r w:rsidRPr="000A3F70">
              <w:rPr>
                <w:rFonts w:ascii="Calibri" w:eastAsia="Times New Roman" w:hAnsi="Calibri" w:cs="Calibri"/>
                <w:lang w:val="en-GB" w:eastAsia="en-GB"/>
              </w:rPr>
              <w:t>Tutorial</w:t>
            </w:r>
          </w:p>
          <w:p w:rsidR="00BD0B41" w:rsidRPr="000A3F70" w:rsidRDefault="00BD0B41" w:rsidP="00C90305">
            <w:pPr>
              <w:numPr>
                <w:ilvl w:val="0"/>
                <w:numId w:val="34"/>
              </w:numPr>
              <w:spacing w:after="0" w:line="240" w:lineRule="auto"/>
              <w:jc w:val="both"/>
              <w:textAlignment w:val="baseline"/>
              <w:rPr>
                <w:rFonts w:ascii="Calibri" w:eastAsia="Times New Roman" w:hAnsi="Calibri" w:cs="Calibri"/>
                <w:lang w:val="en-GB" w:eastAsia="en-GB"/>
              </w:rPr>
            </w:pPr>
            <w:r w:rsidRPr="000A3F70">
              <w:rPr>
                <w:rFonts w:ascii="Calibri" w:eastAsia="Times New Roman" w:hAnsi="Calibri" w:cs="Calibri"/>
                <w:lang w:val="en-GB" w:eastAsia="en-GB"/>
              </w:rPr>
              <w:t>Placement Experience</w:t>
            </w:r>
          </w:p>
          <w:p w:rsidR="00BD0B41" w:rsidRPr="000A3F70" w:rsidRDefault="00BD0B41" w:rsidP="00C90305">
            <w:pPr>
              <w:numPr>
                <w:ilvl w:val="0"/>
                <w:numId w:val="34"/>
              </w:numPr>
              <w:spacing w:after="0" w:line="240" w:lineRule="auto"/>
              <w:jc w:val="both"/>
              <w:textAlignment w:val="baseline"/>
              <w:rPr>
                <w:rFonts w:ascii="Calibri" w:eastAsia="Times New Roman" w:hAnsi="Calibri" w:cs="Calibri"/>
                <w:lang w:val="en-GB" w:eastAsia="en-GB"/>
              </w:rPr>
            </w:pPr>
            <w:r w:rsidRPr="000A3F70">
              <w:rPr>
                <w:rFonts w:ascii="Calibri" w:eastAsia="Times New Roman" w:hAnsi="Calibri" w:cs="Calibri"/>
                <w:lang w:val="en-GB" w:eastAsia="en-GB"/>
              </w:rPr>
              <w:t>Infant Observation</w:t>
            </w:r>
          </w:p>
          <w:p w:rsidR="00BD0B41" w:rsidRPr="000A3F70" w:rsidRDefault="00BD0B41" w:rsidP="00C90305">
            <w:pPr>
              <w:numPr>
                <w:ilvl w:val="0"/>
                <w:numId w:val="34"/>
              </w:numPr>
              <w:spacing w:after="0" w:line="240" w:lineRule="auto"/>
              <w:jc w:val="both"/>
              <w:textAlignment w:val="baseline"/>
              <w:rPr>
                <w:rFonts w:ascii="Calibri" w:eastAsia="Times New Roman" w:hAnsi="Calibri" w:cs="Calibri"/>
                <w:lang w:val="en-GB" w:eastAsia="en-GB"/>
              </w:rPr>
            </w:pPr>
            <w:r w:rsidRPr="000A3F70">
              <w:rPr>
                <w:rFonts w:ascii="Calibri" w:eastAsia="Times New Roman" w:hAnsi="Calibri" w:cs="Calibri"/>
                <w:lang w:val="en-GB" w:eastAsia="en-GB"/>
              </w:rPr>
              <w:t>Group Supervision</w:t>
            </w:r>
          </w:p>
          <w:p w:rsidR="00BD0B41" w:rsidRPr="000A3F70" w:rsidRDefault="00BD0B41" w:rsidP="00C90305">
            <w:pPr>
              <w:numPr>
                <w:ilvl w:val="0"/>
                <w:numId w:val="34"/>
              </w:numPr>
              <w:spacing w:after="0" w:line="240" w:lineRule="auto"/>
              <w:jc w:val="both"/>
              <w:textAlignment w:val="baseline"/>
              <w:rPr>
                <w:rFonts w:ascii="Calibri" w:eastAsia="Times New Roman" w:hAnsi="Calibri" w:cs="Calibri"/>
                <w:lang w:val="en-GB" w:eastAsia="en-GB"/>
              </w:rPr>
            </w:pPr>
            <w:r w:rsidRPr="000A3F70">
              <w:rPr>
                <w:rFonts w:ascii="Calibri" w:eastAsia="Times New Roman" w:hAnsi="Calibri" w:cs="Calibri"/>
                <w:lang w:val="en-GB" w:eastAsia="en-GB"/>
              </w:rPr>
              <w:t>Individual Supervision</w:t>
            </w:r>
          </w:p>
          <w:p w:rsidR="00483C1F" w:rsidRPr="000A3F70" w:rsidRDefault="00483C1F" w:rsidP="001F41E1">
            <w:pPr>
              <w:spacing w:after="0" w:line="240" w:lineRule="auto"/>
              <w:rPr>
                <w:rFonts w:ascii="Calibri" w:eastAsia="Times New Roman" w:hAnsi="Calibri" w:cs="Times New Roman"/>
                <w:szCs w:val="24"/>
                <w:lang w:val="en-GB"/>
              </w:rPr>
            </w:pPr>
          </w:p>
        </w:tc>
      </w:tr>
      <w:tr w:rsidR="00483C1F" w:rsidRPr="000A3F70" w:rsidTr="001F41E1">
        <w:tc>
          <w:tcPr>
            <w:tcW w:w="3515" w:type="dxa"/>
            <w:shd w:val="clear" w:color="auto" w:fill="DEEAF6" w:themeFill="accent1" w:themeFillTint="33"/>
          </w:tcPr>
          <w:p w:rsidR="00483C1F" w:rsidRPr="000A3F70" w:rsidRDefault="00483C1F" w:rsidP="001F41E1">
            <w:pPr>
              <w:spacing w:after="0" w:line="240" w:lineRule="auto"/>
              <w:rPr>
                <w:rFonts w:ascii="Calibri" w:eastAsia="Times New Roman" w:hAnsi="Calibri" w:cs="Times New Roman"/>
                <w:b/>
                <w:szCs w:val="24"/>
                <w:lang w:val="en-GB"/>
              </w:rPr>
            </w:pPr>
            <w:r w:rsidRPr="000A3F70">
              <w:rPr>
                <w:rFonts w:ascii="Calibri" w:eastAsia="Times New Roman" w:hAnsi="Calibri" w:cs="Times New Roman"/>
                <w:b/>
                <w:szCs w:val="24"/>
                <w:lang w:val="en-GB"/>
              </w:rPr>
              <w:t>Brief synopsis of the programme (e.g. who it is for, what is it for, what is involved for learners, what it leads to.)</w:t>
            </w:r>
          </w:p>
        </w:tc>
        <w:tc>
          <w:tcPr>
            <w:tcW w:w="5557" w:type="dxa"/>
          </w:tcPr>
          <w:p w:rsidR="003B1BBF" w:rsidRPr="000A3F70" w:rsidRDefault="003B1BBF" w:rsidP="003B1BBF">
            <w:pPr>
              <w:pStyle w:val="NormalWeb"/>
              <w:spacing w:before="0" w:beforeAutospacing="0" w:after="0" w:afterAutospacing="0"/>
              <w:textAlignment w:val="baseline"/>
              <w:rPr>
                <w:rFonts w:ascii="Noto Sans Symbols" w:hAnsi="Noto Sans Symbols"/>
                <w:sz w:val="22"/>
                <w:szCs w:val="22"/>
              </w:rPr>
            </w:pPr>
            <w:r w:rsidRPr="000A3F70">
              <w:rPr>
                <w:rFonts w:ascii="Calibri" w:hAnsi="Calibri" w:cs="Calibri"/>
                <w:sz w:val="22"/>
                <w:szCs w:val="22"/>
              </w:rPr>
              <w:t>The programme directs learners in establishing and maintaining a psychoanalytically informed therapeutic position for the practice of psychoanalytic psychotherapy by providing extensive placement experience in psychiatric, educational and social care settings to allow learners develop their psychotherapeutic position under supervision. It provides a knowledge of psychiatric practice through the Psychiatric Case Conference</w:t>
            </w:r>
            <w:r w:rsidRPr="000A3F70">
              <w:rPr>
                <w:rFonts w:ascii="Noto Sans Symbols" w:hAnsi="Noto Sans Symbols"/>
                <w:sz w:val="22"/>
                <w:szCs w:val="22"/>
              </w:rPr>
              <w:t xml:space="preserve"> and </w:t>
            </w:r>
            <w:r w:rsidRPr="000A3F70">
              <w:rPr>
                <w:rFonts w:ascii="Calibri" w:hAnsi="Calibri" w:cs="Calibri"/>
                <w:sz w:val="22"/>
                <w:szCs w:val="22"/>
              </w:rPr>
              <w:t>provides training in Infant Observation which grounds work with children and in family situations. It develops research skills for graduates to contribute effectively to research in the emerging field of psychoanalysis in Ireland</w:t>
            </w:r>
            <w:r w:rsidRPr="000A3F70">
              <w:rPr>
                <w:rFonts w:ascii="Noto Sans Symbols" w:hAnsi="Noto Sans Symbols"/>
                <w:sz w:val="22"/>
                <w:szCs w:val="22"/>
              </w:rPr>
              <w:t xml:space="preserve">. </w:t>
            </w:r>
            <w:r w:rsidRPr="000A3F70">
              <w:rPr>
                <w:rFonts w:ascii="Calibri" w:hAnsi="Calibri" w:cs="Calibri"/>
                <w:sz w:val="22"/>
                <w:szCs w:val="22"/>
              </w:rPr>
              <w:t xml:space="preserve">It delivers theoretical material from Freudian-Lacanian teaching which assists learner practitioners to articulate their experience of psychoanalysis. </w:t>
            </w:r>
          </w:p>
          <w:p w:rsidR="00483C1F" w:rsidRPr="000A3F70" w:rsidRDefault="00483C1F" w:rsidP="001F41E1">
            <w:pPr>
              <w:spacing w:after="0" w:line="240" w:lineRule="auto"/>
              <w:rPr>
                <w:rFonts w:ascii="Calibri" w:eastAsia="Times New Roman" w:hAnsi="Calibri" w:cs="Times New Roman"/>
                <w:szCs w:val="24"/>
                <w:lang w:val="en-GB"/>
              </w:rPr>
            </w:pPr>
          </w:p>
        </w:tc>
      </w:tr>
      <w:tr w:rsidR="000A3F70" w:rsidRPr="000A3F70" w:rsidTr="001F41E1">
        <w:tc>
          <w:tcPr>
            <w:tcW w:w="3515" w:type="dxa"/>
            <w:shd w:val="clear" w:color="auto" w:fill="DEEAF6" w:themeFill="accent1" w:themeFillTint="33"/>
          </w:tcPr>
          <w:p w:rsidR="00483C1F" w:rsidRPr="000A3F70" w:rsidRDefault="00483C1F" w:rsidP="001F41E1">
            <w:pPr>
              <w:spacing w:after="0" w:line="240" w:lineRule="auto"/>
              <w:rPr>
                <w:rFonts w:ascii="Calibri" w:eastAsia="Times New Roman" w:hAnsi="Calibri" w:cs="Arial"/>
                <w:b/>
              </w:rPr>
            </w:pPr>
            <w:r w:rsidRPr="000A3F70">
              <w:rPr>
                <w:rFonts w:ascii="Calibri" w:eastAsia="Times New Roman" w:hAnsi="Calibri" w:cs="Arial"/>
                <w:b/>
              </w:rPr>
              <w:t>Specifications for teaching staff</w:t>
            </w:r>
          </w:p>
        </w:tc>
        <w:tc>
          <w:tcPr>
            <w:tcW w:w="5557" w:type="dxa"/>
          </w:tcPr>
          <w:p w:rsidR="00483C1F" w:rsidRPr="000A3F70" w:rsidRDefault="003E144B" w:rsidP="003B1BBF">
            <w:pPr>
              <w:rPr>
                <w:rFonts w:ascii="Calibri" w:hAnsi="Calibri" w:cs="Calibri"/>
              </w:rPr>
            </w:pPr>
            <w:r w:rsidRPr="000A3F70">
              <w:rPr>
                <w:rFonts w:ascii="Calibri" w:hAnsi="Calibri" w:cs="Calibri"/>
              </w:rPr>
              <w:t>Lecturers and clinical personnel are experienced psychoanalytic practitioners who have qualifications in this field at a minimum</w:t>
            </w:r>
            <w:r w:rsidR="005C0200" w:rsidRPr="000A3F70">
              <w:rPr>
                <w:rFonts w:ascii="Calibri" w:hAnsi="Calibri" w:cs="Calibri"/>
              </w:rPr>
              <w:t xml:space="preserve"> of</w:t>
            </w:r>
            <w:r w:rsidRPr="000A3F70">
              <w:rPr>
                <w:rFonts w:ascii="Calibri" w:hAnsi="Calibri" w:cs="Calibri"/>
              </w:rPr>
              <w:t xml:space="preserve"> Level 9 NFQ.</w:t>
            </w:r>
          </w:p>
        </w:tc>
      </w:tr>
      <w:tr w:rsidR="00483C1F" w:rsidRPr="000A3F70" w:rsidTr="001F41E1">
        <w:tc>
          <w:tcPr>
            <w:tcW w:w="3515" w:type="dxa"/>
            <w:shd w:val="clear" w:color="auto" w:fill="DEEAF6" w:themeFill="accent1" w:themeFillTint="33"/>
          </w:tcPr>
          <w:p w:rsidR="00483C1F" w:rsidRPr="000A3F70" w:rsidRDefault="00483C1F" w:rsidP="001F41E1">
            <w:pPr>
              <w:spacing w:after="0" w:line="240" w:lineRule="auto"/>
              <w:rPr>
                <w:rFonts w:ascii="Calibri" w:eastAsia="Times New Roman" w:hAnsi="Calibri" w:cs="Arial"/>
                <w:b/>
              </w:rPr>
            </w:pPr>
            <w:r w:rsidRPr="000A3F70">
              <w:rPr>
                <w:rFonts w:ascii="Calibri" w:eastAsia="Times New Roman" w:hAnsi="Calibri" w:cs="Arial"/>
                <w:b/>
              </w:rPr>
              <w:t>Specifications for the ratio of learners to teaching-staff</w:t>
            </w:r>
          </w:p>
        </w:tc>
        <w:tc>
          <w:tcPr>
            <w:tcW w:w="5557" w:type="dxa"/>
          </w:tcPr>
          <w:p w:rsidR="00483C1F" w:rsidRPr="000A3F70" w:rsidRDefault="003E144B" w:rsidP="001F41E1">
            <w:pPr>
              <w:spacing w:after="0" w:line="240" w:lineRule="auto"/>
              <w:rPr>
                <w:rFonts w:cs="Arial"/>
              </w:rPr>
            </w:pPr>
            <w:r w:rsidRPr="000A3F70">
              <w:rPr>
                <w:rFonts w:cs="Arial"/>
              </w:rPr>
              <w:t>1:25 for class room sessions</w:t>
            </w:r>
          </w:p>
          <w:p w:rsidR="003E144B" w:rsidRPr="000A3F70" w:rsidRDefault="003E144B" w:rsidP="001F41E1">
            <w:pPr>
              <w:spacing w:after="0" w:line="240" w:lineRule="auto"/>
              <w:rPr>
                <w:rFonts w:cs="Arial"/>
              </w:rPr>
            </w:pPr>
            <w:r w:rsidRPr="000A3F70">
              <w:rPr>
                <w:rFonts w:cs="Arial"/>
              </w:rPr>
              <w:t>1:25 for workshops</w:t>
            </w:r>
          </w:p>
          <w:p w:rsidR="003E144B" w:rsidRPr="000A3F70" w:rsidRDefault="003E144B" w:rsidP="001F41E1">
            <w:pPr>
              <w:spacing w:after="0" w:line="240" w:lineRule="auto"/>
              <w:rPr>
                <w:rFonts w:cs="Arial"/>
              </w:rPr>
            </w:pPr>
            <w:r w:rsidRPr="000A3F70">
              <w:rPr>
                <w:rFonts w:cs="Arial"/>
              </w:rPr>
              <w:t>1:5 for clinical supervision and infant observation groups</w:t>
            </w:r>
          </w:p>
        </w:tc>
      </w:tr>
      <w:tr w:rsidR="00483C1F" w:rsidRPr="000A3F70" w:rsidTr="001F41E1">
        <w:tc>
          <w:tcPr>
            <w:tcW w:w="3515" w:type="dxa"/>
            <w:shd w:val="clear" w:color="auto" w:fill="DEEAF6" w:themeFill="accent1" w:themeFillTint="33"/>
          </w:tcPr>
          <w:p w:rsidR="00483C1F" w:rsidRPr="000A3F70" w:rsidRDefault="00483C1F" w:rsidP="001F41E1">
            <w:pPr>
              <w:spacing w:after="0" w:line="240" w:lineRule="auto"/>
              <w:rPr>
                <w:rFonts w:ascii="Calibri" w:eastAsia="Times New Roman" w:hAnsi="Calibri" w:cs="Arial"/>
                <w:b/>
              </w:rPr>
            </w:pPr>
          </w:p>
        </w:tc>
        <w:tc>
          <w:tcPr>
            <w:tcW w:w="5557" w:type="dxa"/>
          </w:tcPr>
          <w:p w:rsidR="00483C1F" w:rsidRPr="000A3F70" w:rsidRDefault="00483C1F" w:rsidP="001F41E1">
            <w:pPr>
              <w:spacing w:after="0" w:line="240" w:lineRule="auto"/>
            </w:pPr>
          </w:p>
        </w:tc>
      </w:tr>
    </w:tbl>
    <w:p w:rsidR="00483C1F" w:rsidRPr="000A3F70" w:rsidRDefault="00483C1F" w:rsidP="00483C1F"/>
    <w:p w:rsidR="008876FB" w:rsidRPr="00FC49AE" w:rsidRDefault="00472A27" w:rsidP="00FC49AE">
      <w:pPr>
        <w:pStyle w:val="Heading2"/>
        <w:numPr>
          <w:ilvl w:val="0"/>
          <w:numId w:val="0"/>
        </w:numPr>
        <w:ind w:left="576" w:hanging="576"/>
        <w:rPr>
          <w:rFonts w:eastAsia="Times New Roman"/>
          <w:color w:val="auto"/>
        </w:rPr>
      </w:pPr>
      <w:bookmarkStart w:id="36" w:name="_Toc479176609"/>
      <w:bookmarkStart w:id="37" w:name="_Toc479176696"/>
      <w:bookmarkStart w:id="38" w:name="_Toc513221601"/>
      <w:r w:rsidRPr="000A3F70">
        <w:rPr>
          <w:rFonts w:eastAsia="Times New Roman"/>
          <w:color w:val="auto"/>
        </w:rPr>
        <w:t>Other noteworthy features of the application</w:t>
      </w:r>
      <w:bookmarkEnd w:id="36"/>
      <w:bookmarkEnd w:id="37"/>
      <w:bookmarkEnd w:id="38"/>
      <w:r w:rsidRPr="000A3F70">
        <w:rPr>
          <w:rFonts w:eastAsia="Times New Roman"/>
          <w:color w:val="auto"/>
        </w:rPr>
        <w:t xml:space="preserve"> </w:t>
      </w:r>
    </w:p>
    <w:p w:rsidR="00472A27" w:rsidRPr="000A3F70" w:rsidRDefault="00472A27" w:rsidP="00472A27"/>
    <w:tbl>
      <w:tblPr>
        <w:tblStyle w:val="TableGrid"/>
        <w:tblW w:w="9067" w:type="dxa"/>
        <w:shd w:val="clear" w:color="auto" w:fill="DEEAF6" w:themeFill="accent1" w:themeFillTint="33"/>
        <w:tblLook w:val="04A0" w:firstRow="1" w:lastRow="0" w:firstColumn="1" w:lastColumn="0" w:noHBand="0" w:noVBand="1"/>
      </w:tblPr>
      <w:tblGrid>
        <w:gridCol w:w="9067"/>
      </w:tblGrid>
      <w:tr w:rsidR="00472A27" w:rsidRPr="000A3F70" w:rsidTr="001C0F0B">
        <w:tc>
          <w:tcPr>
            <w:tcW w:w="9067" w:type="dxa"/>
            <w:shd w:val="clear" w:color="auto" w:fill="DEEAF6" w:themeFill="accent1" w:themeFillTint="33"/>
          </w:tcPr>
          <w:p w:rsidR="00472A27" w:rsidRPr="000A3F70" w:rsidRDefault="00472A27" w:rsidP="001C0F0B">
            <w:pPr>
              <w:jc w:val="center"/>
              <w:rPr>
                <w:b/>
              </w:rPr>
            </w:pPr>
            <w:r w:rsidRPr="000A3F70">
              <w:rPr>
                <w:b/>
              </w:rPr>
              <w:t>INSTRUCTIONS FOR PREPARING THE INDEPENDENT EVALUATION REPORT</w:t>
            </w:r>
          </w:p>
          <w:p w:rsidR="00472A27" w:rsidRPr="000A3F70" w:rsidRDefault="00472A27" w:rsidP="001C0F0B">
            <w:r w:rsidRPr="000A3F70">
              <w:t xml:space="preserve">Evaluators completing this report are expected to understand </w:t>
            </w:r>
            <w:r w:rsidRPr="000A3F70">
              <w:rPr>
                <w:b/>
              </w:rPr>
              <w:t>Core policies and criteria for the validation by QQI of programmes of education and training 2016</w:t>
            </w:r>
            <w:r w:rsidRPr="000A3F70">
              <w:t xml:space="preserve">. </w:t>
            </w:r>
          </w:p>
          <w:p w:rsidR="00472A27" w:rsidRPr="000A3F70" w:rsidRDefault="00472A27" w:rsidP="001C0F0B"/>
          <w:p w:rsidR="00472A27" w:rsidRPr="000A3F70" w:rsidRDefault="00472A27" w:rsidP="001C0F0B">
            <w:r w:rsidRPr="000A3F70">
              <w:t>Note that in making its determination QQI</w:t>
            </w:r>
          </w:p>
          <w:p w:rsidR="00472A27" w:rsidRPr="000A3F70" w:rsidRDefault="00472A27" w:rsidP="00C90305">
            <w:pPr>
              <w:numPr>
                <w:ilvl w:val="0"/>
                <w:numId w:val="24"/>
              </w:numPr>
              <w:spacing w:after="160" w:line="259" w:lineRule="auto"/>
              <w:contextualSpacing/>
            </w:pPr>
            <w:r w:rsidRPr="000A3F70">
              <w:t xml:space="preserve">Will consider the findings of the validation process including the </w:t>
            </w:r>
            <w:r w:rsidRPr="000A3F70">
              <w:rPr>
                <w:b/>
                <w:u w:val="single"/>
              </w:rPr>
              <w:t>independent evaluation report</w:t>
            </w:r>
            <w:r w:rsidRPr="000A3F70">
              <w:t xml:space="preserve"> along with the applicant’s response to this report;</w:t>
            </w:r>
          </w:p>
          <w:p w:rsidR="00472A27" w:rsidRPr="000A3F70" w:rsidRDefault="00472A27" w:rsidP="00C90305">
            <w:pPr>
              <w:numPr>
                <w:ilvl w:val="0"/>
                <w:numId w:val="24"/>
              </w:numPr>
              <w:spacing w:after="160" w:line="259" w:lineRule="auto"/>
              <w:contextualSpacing/>
            </w:pPr>
            <w:r w:rsidRPr="000A3F70">
              <w:t>May consider any other information received in respect of the process;</w:t>
            </w:r>
          </w:p>
          <w:p w:rsidR="00472A27" w:rsidRPr="000A3F70" w:rsidRDefault="00472A27" w:rsidP="00C90305">
            <w:pPr>
              <w:numPr>
                <w:ilvl w:val="0"/>
                <w:numId w:val="24"/>
              </w:numPr>
              <w:spacing w:after="160" w:line="259" w:lineRule="auto"/>
              <w:contextualSpacing/>
            </w:pPr>
            <w:r w:rsidRPr="000A3F70">
              <w:t>May consider an account of the conduct of the process and its context noting any concerns or complaints expressed by the applicant.</w:t>
            </w:r>
          </w:p>
          <w:p w:rsidR="00472A27" w:rsidRPr="000A3F70" w:rsidRDefault="00472A27" w:rsidP="001C0F0B">
            <w:pPr>
              <w:rPr>
                <w:b/>
              </w:rPr>
            </w:pPr>
            <w:r w:rsidRPr="000A3F70">
              <w:rPr>
                <w:b/>
              </w:rPr>
              <w:t>The independent evaluation report must address whether the programme meets the</w:t>
            </w:r>
          </w:p>
          <w:p w:rsidR="00472A27" w:rsidRPr="000A3F70" w:rsidRDefault="00472A27" w:rsidP="001C0F0B">
            <w:pPr>
              <w:rPr>
                <w:b/>
              </w:rPr>
            </w:pPr>
            <w:r w:rsidRPr="000A3F70">
              <w:rPr>
                <w:b/>
              </w:rPr>
              <w:t>validation criteria in general and in detail.</w:t>
            </w:r>
          </w:p>
          <w:p w:rsidR="00472A27" w:rsidRPr="000A3F70" w:rsidRDefault="00472A27" w:rsidP="001C0F0B"/>
          <w:p w:rsidR="00472A27" w:rsidRPr="000A3F70" w:rsidRDefault="00472A27" w:rsidP="001C0F0B">
            <w:r w:rsidRPr="000A3F70">
              <w:t>The independent evaluation report must, for each programme, embedded programme and module that leads to a QQI award:</w:t>
            </w:r>
          </w:p>
          <w:p w:rsidR="00472A27" w:rsidRPr="000A3F70" w:rsidRDefault="00472A27" w:rsidP="00C90305">
            <w:pPr>
              <w:pStyle w:val="ListParagraph"/>
              <w:numPr>
                <w:ilvl w:val="0"/>
                <w:numId w:val="23"/>
              </w:numPr>
            </w:pPr>
            <w:r w:rsidRPr="000A3F70">
              <w:t>Outline the salient characteristics of the proposed programmes (Part 1);</w:t>
            </w:r>
          </w:p>
          <w:p w:rsidR="00472A27" w:rsidRPr="000A3F70" w:rsidRDefault="00472A27" w:rsidP="00C90305">
            <w:pPr>
              <w:pStyle w:val="ListParagraph"/>
              <w:numPr>
                <w:ilvl w:val="0"/>
                <w:numId w:val="23"/>
              </w:numPr>
            </w:pPr>
            <w:r w:rsidRPr="000A3F70">
              <w:t>Outline whether and how the QQI validation criteria and sub-criteria are addressed by the application for validation citing evidence from the application documentation and other findings (e.g. from the site visit);</w:t>
            </w:r>
          </w:p>
          <w:p w:rsidR="00472A27" w:rsidRPr="000A3F70" w:rsidRDefault="00472A27" w:rsidP="00C90305">
            <w:pPr>
              <w:pStyle w:val="ListParagraph"/>
              <w:numPr>
                <w:ilvl w:val="0"/>
                <w:numId w:val="23"/>
              </w:numPr>
            </w:pPr>
            <w:r w:rsidRPr="000A3F70">
              <w:t>Address whether the principal programme, and any embedded programme, and any module proposed to lead to a minor award, meets the validation criteria in general and in detail. (Part 2 and Part 3)</w:t>
            </w:r>
          </w:p>
          <w:p w:rsidR="00472A27" w:rsidRPr="000A3F70" w:rsidRDefault="00472A27" w:rsidP="00C90305">
            <w:pPr>
              <w:pStyle w:val="ListParagraph"/>
              <w:numPr>
                <w:ilvl w:val="0"/>
                <w:numId w:val="23"/>
              </w:numPr>
            </w:pPr>
            <w:r w:rsidRPr="000A3F70">
              <w:t>Include one of the following overall conclusions in light of the applicable validation policies and criteria:</w:t>
            </w:r>
          </w:p>
          <w:p w:rsidR="00472A27" w:rsidRPr="000A3F70" w:rsidRDefault="00472A27" w:rsidP="00C90305">
            <w:pPr>
              <w:pStyle w:val="ListParagraph"/>
              <w:numPr>
                <w:ilvl w:val="0"/>
                <w:numId w:val="25"/>
              </w:numPr>
            </w:pPr>
            <w:r w:rsidRPr="000A3F70">
              <w:t>Satisfactory (meaning that it recommends that QQI can be satisfied in the</w:t>
            </w:r>
          </w:p>
          <w:p w:rsidR="00472A27" w:rsidRPr="000A3F70" w:rsidRDefault="00472A27" w:rsidP="001C0F0B">
            <w:pPr>
              <w:pStyle w:val="ListParagraph"/>
              <w:ind w:left="1440"/>
            </w:pPr>
            <w:r w:rsidRPr="000A3F70">
              <w:t>context of unit 2.3 of Core</w:t>
            </w:r>
            <w:r w:rsidRPr="000A3F70">
              <w:rPr>
                <w:b/>
              </w:rPr>
              <w:t xml:space="preserve"> policies and criteria for the validation by QQI of programmes of education and training</w:t>
            </w:r>
            <w:r w:rsidRPr="000A3F70">
              <w:t>);</w:t>
            </w:r>
          </w:p>
          <w:p w:rsidR="00472A27" w:rsidRPr="000A3F70" w:rsidRDefault="00472A27" w:rsidP="00C90305">
            <w:pPr>
              <w:pStyle w:val="ListParagraph"/>
              <w:numPr>
                <w:ilvl w:val="0"/>
                <w:numId w:val="25"/>
              </w:numPr>
            </w:pPr>
            <w:r w:rsidRPr="000A3F70">
              <w:t>Satisfactory subject to proposed special6 conditions (specified with timescale</w:t>
            </w:r>
          </w:p>
          <w:p w:rsidR="00472A27" w:rsidRPr="000A3F70" w:rsidRDefault="00472A27" w:rsidP="001C0F0B">
            <w:pPr>
              <w:pStyle w:val="ListParagraph"/>
              <w:ind w:left="1440"/>
            </w:pPr>
            <w:r w:rsidRPr="000A3F70">
              <w:t>for compliance for each condition; these may include proposed pre-validation</w:t>
            </w:r>
          </w:p>
          <w:p w:rsidR="00472A27" w:rsidRPr="000A3F70" w:rsidRDefault="00472A27" w:rsidP="001C0F0B">
            <w:pPr>
              <w:pStyle w:val="ListParagraph"/>
              <w:ind w:left="1440"/>
            </w:pPr>
            <w:r w:rsidRPr="000A3F70">
              <w:t>conditions i.e. proposed (minor) things to be done to a programme that almost</w:t>
            </w:r>
          </w:p>
          <w:p w:rsidR="00472A27" w:rsidRPr="000A3F70" w:rsidRDefault="00472A27" w:rsidP="001C0F0B">
            <w:pPr>
              <w:pStyle w:val="ListParagraph"/>
              <w:ind w:left="1440"/>
            </w:pPr>
            <w:r w:rsidRPr="000A3F70">
              <w:t>fully meets the validation criteria before QQI makes a determination);</w:t>
            </w:r>
          </w:p>
          <w:p w:rsidR="00472A27" w:rsidRPr="000A3F70" w:rsidRDefault="00472A27" w:rsidP="00C90305">
            <w:pPr>
              <w:pStyle w:val="ListParagraph"/>
              <w:numPr>
                <w:ilvl w:val="0"/>
                <w:numId w:val="25"/>
              </w:numPr>
            </w:pPr>
            <w:r w:rsidRPr="000A3F70">
              <w:t>Not satisfactory.</w:t>
            </w:r>
          </w:p>
          <w:p w:rsidR="00472A27" w:rsidRPr="000A3F70" w:rsidRDefault="00472A27" w:rsidP="00C90305">
            <w:pPr>
              <w:pStyle w:val="ListParagraph"/>
              <w:numPr>
                <w:ilvl w:val="0"/>
                <w:numId w:val="23"/>
              </w:numPr>
            </w:pPr>
            <w:r w:rsidRPr="000A3F70">
              <w:t xml:space="preserve">Give precise reasons for the conclusions organised under each of the 12 criteria (for the programme and each embedded programme and any modules proposed to lead to QQI awards) citing supporting evidence. </w:t>
            </w:r>
            <w:r w:rsidRPr="000A3F70">
              <w:rPr>
                <w:b/>
              </w:rPr>
              <w:t>If any criteria or sub-criteria are not met by the application this must be stated explicitly giving precise reasons with evidence.</w:t>
            </w:r>
            <w:r w:rsidRPr="000A3F70">
              <w:t xml:space="preserve">  A “Not Satisfactory” recommendation may be justified if any one of the applicable criteria or sub-criteria are not demonstrated to be satisfied.</w:t>
            </w:r>
          </w:p>
          <w:p w:rsidR="00472A27" w:rsidRPr="000A3F70" w:rsidRDefault="00472A27" w:rsidP="001C0F0B"/>
          <w:p w:rsidR="00472A27" w:rsidRPr="000A3F70" w:rsidRDefault="00472A27" w:rsidP="001C0F0B">
            <w:r w:rsidRPr="000A3F70">
              <w:t>All independent evaluation reports are required to provide a rationale for any proposed</w:t>
            </w:r>
          </w:p>
          <w:p w:rsidR="00472A27" w:rsidRPr="000A3F70" w:rsidRDefault="00472A27" w:rsidP="001C0F0B">
            <w:r w:rsidRPr="000A3F70">
              <w:t>special conditions and recommendations to the provider as well as the overall</w:t>
            </w:r>
          </w:p>
          <w:p w:rsidR="00472A27" w:rsidRPr="000A3F70" w:rsidRDefault="00472A27" w:rsidP="001C0F0B">
            <w:r w:rsidRPr="000A3F70">
              <w:t>conclusion.</w:t>
            </w:r>
          </w:p>
          <w:p w:rsidR="00472A27" w:rsidRPr="000A3F70" w:rsidRDefault="00472A27" w:rsidP="001C0F0B"/>
          <w:p w:rsidR="00472A27" w:rsidRPr="000A3F70" w:rsidRDefault="00472A27" w:rsidP="001C0F0B">
            <w:r w:rsidRPr="000A3F70">
              <w:t>The report may also propose recommendations for consideration by the provider.</w:t>
            </w:r>
          </w:p>
          <w:p w:rsidR="00472A27" w:rsidRPr="000A3F70" w:rsidRDefault="00472A27" w:rsidP="001C0F0B"/>
        </w:tc>
      </w:tr>
    </w:tbl>
    <w:p w:rsidR="00472A27" w:rsidRPr="000A3F70" w:rsidRDefault="00472A27" w:rsidP="00472A27"/>
    <w:p w:rsidR="00472A27" w:rsidRPr="000A3F70" w:rsidRDefault="00472A27" w:rsidP="00472A27">
      <w:pPr>
        <w:rPr>
          <w:rFonts w:asciiTheme="majorHAnsi" w:eastAsiaTheme="majorEastAsia" w:hAnsiTheme="majorHAnsi" w:cstheme="majorBidi"/>
          <w:sz w:val="32"/>
          <w:szCs w:val="32"/>
        </w:rPr>
      </w:pPr>
      <w:r w:rsidRPr="000A3F70">
        <w:rPr>
          <w:rFonts w:asciiTheme="majorHAnsi" w:eastAsiaTheme="majorEastAsia" w:hAnsiTheme="majorHAnsi" w:cstheme="majorBidi"/>
          <w:sz w:val="32"/>
          <w:szCs w:val="32"/>
        </w:rPr>
        <w:br w:type="page"/>
      </w:r>
    </w:p>
    <w:p w:rsidR="00472A27" w:rsidRPr="000A3F70" w:rsidRDefault="00472A27" w:rsidP="00472A27">
      <w:pPr>
        <w:pStyle w:val="Heading1"/>
        <w:numPr>
          <w:ilvl w:val="0"/>
          <w:numId w:val="0"/>
        </w:numPr>
      </w:pPr>
      <w:bookmarkStart w:id="39" w:name="_Toc479176610"/>
      <w:bookmarkStart w:id="40" w:name="_Toc479176697"/>
      <w:bookmarkStart w:id="41" w:name="_Toc513221602"/>
      <w:r w:rsidRPr="000A3F70">
        <w:t>Part 2 Evaluation against the validation criteria</w:t>
      </w:r>
      <w:bookmarkEnd w:id="39"/>
      <w:bookmarkEnd w:id="40"/>
      <w:bookmarkEnd w:id="41"/>
    </w:p>
    <w:p w:rsidR="00472A27" w:rsidRPr="000A3F70" w:rsidRDefault="005C0200" w:rsidP="005C0200">
      <w:pPr>
        <w:pStyle w:val="Heading2"/>
        <w:rPr>
          <w:rFonts w:eastAsia="Times New Roman"/>
          <w:color w:val="auto"/>
        </w:rPr>
      </w:pPr>
      <w:bookmarkStart w:id="42" w:name="_Toc479176611"/>
      <w:bookmarkStart w:id="43" w:name="_Toc479176698"/>
      <w:bookmarkStart w:id="44" w:name="_Toc513221603"/>
      <w:r w:rsidRPr="000A3F70">
        <w:rPr>
          <w:rFonts w:eastAsia="Times New Roman"/>
          <w:color w:val="auto"/>
        </w:rPr>
        <w:t xml:space="preserve">Criterion1: </w:t>
      </w:r>
      <w:r w:rsidR="00472A27" w:rsidRPr="000A3F70">
        <w:rPr>
          <w:rFonts w:eastAsia="Times New Roman"/>
          <w:color w:val="auto"/>
        </w:rPr>
        <w:t>The provider is eligible to apply for validation of the programme</w:t>
      </w:r>
      <w:bookmarkEnd w:id="42"/>
      <w:bookmarkEnd w:id="43"/>
      <w:bookmarkEnd w:id="44"/>
    </w:p>
    <w:tbl>
      <w:tblPr>
        <w:tblStyle w:val="TableGrid"/>
        <w:tblW w:w="0" w:type="auto"/>
        <w:tblInd w:w="-5" w:type="dxa"/>
        <w:tblLook w:val="04A0" w:firstRow="1" w:lastRow="0" w:firstColumn="1" w:lastColumn="0" w:noHBand="0" w:noVBand="1"/>
      </w:tblPr>
      <w:tblGrid>
        <w:gridCol w:w="1196"/>
        <w:gridCol w:w="3343"/>
        <w:gridCol w:w="4482"/>
      </w:tblGrid>
      <w:tr w:rsidR="00472A27" w:rsidRPr="000A3F70" w:rsidTr="001C0F0B">
        <w:tc>
          <w:tcPr>
            <w:tcW w:w="1169" w:type="dxa"/>
            <w:shd w:val="clear" w:color="auto" w:fill="DEEAF6" w:themeFill="accent1" w:themeFillTint="33"/>
          </w:tcPr>
          <w:p w:rsidR="003E271E" w:rsidRDefault="00472A27" w:rsidP="001F41E1">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Satisfactory</w:t>
            </w:r>
          </w:p>
          <w:p w:rsidR="00472A27" w:rsidRPr="000A3F70" w:rsidRDefault="003E271E" w:rsidP="001F41E1">
            <w:pPr>
              <w:contextualSpacing/>
              <w:rPr>
                <w:rFonts w:ascii="Calibri" w:eastAsia="Times New Roman" w:hAnsi="Calibri" w:cs="Times New Roman"/>
                <w:b/>
                <w:sz w:val="20"/>
                <w:szCs w:val="20"/>
                <w:lang w:val="en-GB"/>
              </w:rPr>
            </w:pPr>
            <w:r>
              <w:rPr>
                <w:rFonts w:ascii="Calibri" w:eastAsia="Times New Roman" w:hAnsi="Calibri" w:cs="Times New Roman"/>
                <w:b/>
                <w:sz w:val="20"/>
                <w:szCs w:val="20"/>
                <w:lang w:val="en-GB"/>
              </w:rPr>
              <w:t>Yes</w:t>
            </w:r>
            <w:r w:rsidR="00472A27" w:rsidRPr="000A3F70">
              <w:rPr>
                <w:rFonts w:ascii="Calibri" w:eastAsia="Times New Roman" w:hAnsi="Calibri" w:cs="Times New Roman"/>
                <w:b/>
                <w:sz w:val="20"/>
                <w:szCs w:val="20"/>
                <w:lang w:val="en-GB"/>
              </w:rPr>
              <w:t xml:space="preserve"> </w:t>
            </w:r>
          </w:p>
        </w:tc>
        <w:tc>
          <w:tcPr>
            <w:tcW w:w="3356"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496"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 criteria</w:t>
            </w:r>
          </w:p>
        </w:tc>
      </w:tr>
      <w:tr w:rsidR="00472A27" w:rsidRPr="000A3F70" w:rsidTr="001C0F0B">
        <w:tc>
          <w:tcPr>
            <w:tcW w:w="1169" w:type="dxa"/>
          </w:tcPr>
          <w:p w:rsidR="00472A27" w:rsidRPr="000A3F70" w:rsidRDefault="00472A27" w:rsidP="001C0F0B">
            <w:pPr>
              <w:ind w:left="360"/>
              <w:contextualSpacing/>
              <w:rPr>
                <w:rFonts w:ascii="Calibri" w:eastAsia="Times New Roman" w:hAnsi="Calibri" w:cs="Times New Roman"/>
                <w:sz w:val="20"/>
                <w:szCs w:val="20"/>
                <w:lang w:val="en-GB"/>
              </w:rPr>
            </w:pPr>
          </w:p>
        </w:tc>
        <w:tc>
          <w:tcPr>
            <w:tcW w:w="3356" w:type="dxa"/>
            <w:shd w:val="clear" w:color="auto" w:fill="auto"/>
          </w:tcPr>
          <w:p w:rsidR="00472A27" w:rsidRPr="000A3F70" w:rsidRDefault="00472A27" w:rsidP="001C0F0B">
            <w:pPr>
              <w:rPr>
                <w:lang w:val="en-GB"/>
              </w:rPr>
            </w:pPr>
          </w:p>
        </w:tc>
        <w:tc>
          <w:tcPr>
            <w:tcW w:w="4496" w:type="dxa"/>
            <w:shd w:val="clear" w:color="auto" w:fill="DEEAF6" w:themeFill="accent1" w:themeFillTint="33"/>
          </w:tcPr>
          <w:p w:rsidR="00472A27" w:rsidRPr="000A3F70" w:rsidRDefault="00472A27" w:rsidP="00C90305">
            <w:pPr>
              <w:numPr>
                <w:ilvl w:val="0"/>
                <w:numId w:val="5"/>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provider meets the prerequisites (section 44(7) of the 2012 Act) to apply for validation of the programme.</w:t>
            </w:r>
          </w:p>
        </w:tc>
      </w:tr>
      <w:tr w:rsidR="00472A27" w:rsidRPr="000A3F70" w:rsidTr="001C0F0B">
        <w:tc>
          <w:tcPr>
            <w:tcW w:w="1169" w:type="dxa"/>
          </w:tcPr>
          <w:p w:rsidR="00472A27" w:rsidRPr="000A3F70" w:rsidRDefault="00472A27" w:rsidP="001C0F0B">
            <w:pPr>
              <w:ind w:left="360"/>
              <w:contextualSpacing/>
              <w:rPr>
                <w:rFonts w:ascii="Calibri" w:eastAsia="Times New Roman" w:hAnsi="Calibri" w:cs="Times New Roman"/>
                <w:sz w:val="20"/>
                <w:szCs w:val="20"/>
                <w:lang w:val="en-GB"/>
              </w:rPr>
            </w:pPr>
          </w:p>
        </w:tc>
        <w:tc>
          <w:tcPr>
            <w:tcW w:w="3356" w:type="dxa"/>
            <w:shd w:val="clear" w:color="auto" w:fill="auto"/>
          </w:tcPr>
          <w:p w:rsidR="00472A27" w:rsidRPr="000A3F70" w:rsidRDefault="00472A27" w:rsidP="001C0F0B">
            <w:pPr>
              <w:rPr>
                <w:lang w:val="en-GB"/>
              </w:rPr>
            </w:pPr>
          </w:p>
        </w:tc>
        <w:tc>
          <w:tcPr>
            <w:tcW w:w="4496" w:type="dxa"/>
            <w:shd w:val="clear" w:color="auto" w:fill="DEEAF6" w:themeFill="accent1" w:themeFillTint="33"/>
          </w:tcPr>
          <w:p w:rsidR="00472A27" w:rsidRPr="000A3F70" w:rsidRDefault="00472A27" w:rsidP="00C90305">
            <w:pPr>
              <w:numPr>
                <w:ilvl w:val="0"/>
                <w:numId w:val="5"/>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application for validation is signed by the provider’s chief executive (or equivalent) who confirms that the information provided is truthful and that all the applicable criteria have been addressed.</w:t>
            </w:r>
          </w:p>
        </w:tc>
      </w:tr>
      <w:tr w:rsidR="00472A27" w:rsidRPr="000A3F70" w:rsidTr="001C0F0B">
        <w:tc>
          <w:tcPr>
            <w:tcW w:w="1169" w:type="dxa"/>
          </w:tcPr>
          <w:p w:rsidR="00472A27" w:rsidRPr="000A3F70" w:rsidRDefault="00472A27" w:rsidP="001C0F0B">
            <w:pPr>
              <w:ind w:left="360"/>
              <w:contextualSpacing/>
              <w:rPr>
                <w:rFonts w:ascii="Calibri" w:eastAsia="Times New Roman" w:hAnsi="Calibri" w:cs="Times New Roman"/>
                <w:sz w:val="20"/>
                <w:szCs w:val="20"/>
                <w:lang w:val="en-GB"/>
              </w:rPr>
            </w:pPr>
          </w:p>
        </w:tc>
        <w:tc>
          <w:tcPr>
            <w:tcW w:w="3356" w:type="dxa"/>
            <w:shd w:val="clear" w:color="auto" w:fill="auto"/>
          </w:tcPr>
          <w:p w:rsidR="00472A27" w:rsidRPr="000A3F70" w:rsidRDefault="000404A0" w:rsidP="001C0F0B">
            <w:pPr>
              <w:rPr>
                <w:lang w:val="en-GB"/>
              </w:rPr>
            </w:pPr>
            <w:r>
              <w:rPr>
                <w:lang w:val="en-GB"/>
              </w:rPr>
              <w:t xml:space="preserve"> </w:t>
            </w:r>
          </w:p>
        </w:tc>
        <w:tc>
          <w:tcPr>
            <w:tcW w:w="4496" w:type="dxa"/>
            <w:shd w:val="clear" w:color="auto" w:fill="DEEAF6" w:themeFill="accent1" w:themeFillTint="33"/>
          </w:tcPr>
          <w:p w:rsidR="00472A27" w:rsidRPr="000A3F70" w:rsidRDefault="00472A27" w:rsidP="00C90305">
            <w:pPr>
              <w:numPr>
                <w:ilvl w:val="0"/>
                <w:numId w:val="5"/>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provider has declared that their programme complies with applicable statutory, regulatory and professional body requirements.</w:t>
            </w:r>
            <w:r w:rsidRPr="000A3F70">
              <w:rPr>
                <w:rFonts w:ascii="Calibri" w:eastAsia="Times New Roman" w:hAnsi="Calibri" w:cs="Times New Roman"/>
                <w:sz w:val="20"/>
                <w:szCs w:val="20"/>
                <w:vertAlign w:val="superscript"/>
                <w:lang w:val="en-GB"/>
              </w:rPr>
              <w:footnoteReference w:id="6"/>
            </w:r>
          </w:p>
        </w:tc>
      </w:tr>
    </w:tbl>
    <w:p w:rsidR="00EF24D1" w:rsidRPr="000A3F70" w:rsidRDefault="00EF24D1" w:rsidP="000C24E2"/>
    <w:p w:rsidR="000C24E2" w:rsidRPr="00275E08" w:rsidRDefault="000C24E2" w:rsidP="000C24E2">
      <w:pPr>
        <w:rPr>
          <w:rFonts w:cstheme="minorHAnsi"/>
          <w:sz w:val="24"/>
          <w:szCs w:val="24"/>
          <w:lang w:val="en-GB"/>
        </w:rPr>
      </w:pPr>
      <w:r w:rsidRPr="000A3F70">
        <w:t xml:space="preserve">As an established provider of higher education programmes DBS has met the prerequisites (section 44(7) of the 2012 Act) to apply for validation of these programmes. It was noted that DBS has in </w:t>
      </w:r>
      <w:r w:rsidRPr="00275E08">
        <w:rPr>
          <w:rFonts w:cstheme="minorHAnsi"/>
        </w:rPr>
        <w:t>place procedures for access, transfer and progression. DBS has also established arrangements for the Protection of Enrolled Learners (PEL) which have been approved by QQI. The panel was informed that DBS is currently taking part in the re-engagement process with QQI and has completed the Pilot Phase</w:t>
      </w:r>
      <w:r w:rsidRPr="00275E08">
        <w:rPr>
          <w:rFonts w:cstheme="minorHAnsi"/>
          <w:sz w:val="24"/>
          <w:szCs w:val="24"/>
          <w:lang w:val="en-GB"/>
        </w:rPr>
        <w:t>.</w:t>
      </w:r>
      <w:r w:rsidR="000404A0" w:rsidRPr="00275E08">
        <w:rPr>
          <w:rFonts w:cstheme="minorHAnsi"/>
          <w:sz w:val="24"/>
          <w:szCs w:val="24"/>
          <w:lang w:val="en-GB"/>
        </w:rPr>
        <w:t xml:space="preserve"> </w:t>
      </w:r>
      <w:r w:rsidR="000404A0" w:rsidRPr="00275E08">
        <w:rPr>
          <w:rFonts w:cstheme="minorHAnsi"/>
          <w:lang w:val="en-GB"/>
        </w:rPr>
        <w:t>As part of the re-engagement process, policies and procedures were being reviewed.</w:t>
      </w:r>
    </w:p>
    <w:p w:rsidR="00D86505" w:rsidRPr="00D2578D" w:rsidRDefault="000404A0" w:rsidP="000C24E2">
      <w:pPr>
        <w:spacing w:after="0" w:line="240" w:lineRule="auto"/>
      </w:pPr>
      <w:r w:rsidRPr="00FC49AE">
        <w:t>At the site visit, DBS provided a copy of the letter to be submitted to QQI with the application for the revalidation of the programmes. The letter contained the signature and declaration requ</w:t>
      </w:r>
      <w:r w:rsidR="00D2578D">
        <w:t xml:space="preserve">ired under </w:t>
      </w:r>
      <w:r w:rsidR="00275E08" w:rsidRPr="00FC10F8">
        <w:t>sub-</w:t>
      </w:r>
      <w:r w:rsidR="00D2578D" w:rsidRPr="00FC10F8">
        <w:t xml:space="preserve">criteria </w:t>
      </w:r>
      <w:r w:rsidR="00D2578D">
        <w:t>1b) and 1c).</w:t>
      </w:r>
    </w:p>
    <w:p w:rsidR="00D86505" w:rsidRDefault="00D86505" w:rsidP="000C24E2">
      <w:pPr>
        <w:spacing w:after="0" w:line="240" w:lineRule="auto"/>
        <w:rPr>
          <w:color w:val="C00000"/>
        </w:rPr>
      </w:pPr>
    </w:p>
    <w:p w:rsidR="000404A0" w:rsidRPr="000404A0" w:rsidRDefault="000404A0" w:rsidP="000C24E2">
      <w:pPr>
        <w:spacing w:after="0" w:line="240" w:lineRule="auto"/>
        <w:rPr>
          <w:color w:val="C00000"/>
        </w:rPr>
      </w:pPr>
    </w:p>
    <w:p w:rsidR="00472A27" w:rsidRPr="000A3F70" w:rsidRDefault="005C0200" w:rsidP="00C90305">
      <w:pPr>
        <w:pStyle w:val="Heading2"/>
        <w:numPr>
          <w:ilvl w:val="1"/>
          <w:numId w:val="39"/>
        </w:numPr>
        <w:rPr>
          <w:rFonts w:eastAsia="Times New Roman"/>
          <w:color w:val="auto"/>
          <w:lang w:val="en-GB"/>
        </w:rPr>
      </w:pPr>
      <w:bookmarkStart w:id="45" w:name="_Toc431134552"/>
      <w:bookmarkStart w:id="46" w:name="_Toc479176615"/>
      <w:bookmarkStart w:id="47" w:name="_Toc479176702"/>
      <w:bookmarkStart w:id="48" w:name="_Toc513221604"/>
      <w:r w:rsidRPr="000A3F70">
        <w:rPr>
          <w:rFonts w:eastAsia="Times New Roman"/>
          <w:color w:val="auto"/>
          <w:lang w:val="en-GB"/>
        </w:rPr>
        <w:t xml:space="preserve">Criterion 2: </w:t>
      </w:r>
      <w:r w:rsidR="00472A27" w:rsidRPr="000A3F70">
        <w:rPr>
          <w:rFonts w:eastAsia="Times New Roman"/>
          <w:color w:val="auto"/>
          <w:lang w:val="en-GB"/>
        </w:rPr>
        <w:t xml:space="preserve">The </w:t>
      </w:r>
      <w:r w:rsidR="00472A27" w:rsidRPr="000A3F70">
        <w:rPr>
          <w:color w:val="auto"/>
        </w:rPr>
        <w:t>programme</w:t>
      </w:r>
      <w:r w:rsidR="00472A27" w:rsidRPr="000A3F70">
        <w:rPr>
          <w:rFonts w:eastAsia="Times New Roman"/>
          <w:color w:val="auto"/>
          <w:lang w:val="en-GB"/>
        </w:rPr>
        <w:t xml:space="preserve"> objectives and outcomes are clear and consistent with the QQI awards sought</w:t>
      </w:r>
      <w:bookmarkEnd w:id="45"/>
      <w:bookmarkEnd w:id="46"/>
      <w:bookmarkEnd w:id="47"/>
      <w:bookmarkEnd w:id="48"/>
    </w:p>
    <w:tbl>
      <w:tblPr>
        <w:tblStyle w:val="TableGrid"/>
        <w:tblW w:w="0" w:type="auto"/>
        <w:tblInd w:w="-5" w:type="dxa"/>
        <w:tblLook w:val="04A0" w:firstRow="1" w:lastRow="0" w:firstColumn="1" w:lastColumn="0" w:noHBand="0" w:noVBand="1"/>
      </w:tblPr>
      <w:tblGrid>
        <w:gridCol w:w="1196"/>
        <w:gridCol w:w="3028"/>
        <w:gridCol w:w="4797"/>
      </w:tblGrid>
      <w:tr w:rsidR="00472A27" w:rsidRPr="000A3F70" w:rsidTr="0005598B">
        <w:trPr>
          <w:tblHeader/>
        </w:trPr>
        <w:tc>
          <w:tcPr>
            <w:tcW w:w="1196" w:type="dxa"/>
            <w:shd w:val="clear" w:color="auto" w:fill="DEEAF6" w:themeFill="accent1" w:themeFillTint="33"/>
          </w:tcPr>
          <w:p w:rsidR="00472A27" w:rsidRDefault="003E271E" w:rsidP="001C0F0B">
            <w:pPr>
              <w:contextualSpacing/>
              <w:rPr>
                <w:rFonts w:ascii="Calibri" w:eastAsia="Times New Roman" w:hAnsi="Calibri" w:cs="Times New Roman"/>
                <w:b/>
                <w:sz w:val="20"/>
                <w:szCs w:val="20"/>
                <w:lang w:val="en-GB"/>
              </w:rPr>
            </w:pPr>
            <w:r>
              <w:rPr>
                <w:rFonts w:ascii="Calibri" w:eastAsia="Times New Roman" w:hAnsi="Calibri" w:cs="Times New Roman"/>
                <w:b/>
                <w:sz w:val="20"/>
                <w:szCs w:val="20"/>
                <w:lang w:val="en-GB"/>
              </w:rPr>
              <w:t>Satisfactory</w:t>
            </w:r>
          </w:p>
          <w:p w:rsidR="00D86505" w:rsidRPr="000A3F70" w:rsidRDefault="00D86505" w:rsidP="001C0F0B">
            <w:pPr>
              <w:contextualSpacing/>
              <w:rPr>
                <w:rFonts w:ascii="Calibri" w:eastAsia="Times New Roman" w:hAnsi="Calibri" w:cs="Times New Roman"/>
                <w:b/>
                <w:sz w:val="20"/>
                <w:szCs w:val="20"/>
                <w:lang w:val="en-GB"/>
              </w:rPr>
            </w:pPr>
            <w:r>
              <w:rPr>
                <w:rFonts w:ascii="Calibri" w:eastAsia="Times New Roman" w:hAnsi="Calibri" w:cs="Times New Roman"/>
                <w:b/>
                <w:sz w:val="20"/>
                <w:szCs w:val="20"/>
                <w:lang w:val="en-GB"/>
              </w:rPr>
              <w:t>Yes</w:t>
            </w:r>
          </w:p>
        </w:tc>
        <w:tc>
          <w:tcPr>
            <w:tcW w:w="3028"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797"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Sub-criteria</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0"/>
                <w:numId w:val="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programme aims and objectives are expressed plainly.</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0"/>
                <w:numId w:val="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A QQI award is specified for those who complete the programme.</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1"/>
                <w:numId w:val="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Where applicable, a QQI award is specified for each embedded programme.</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0"/>
                <w:numId w:val="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There is a satisfactory rationale for the choice of QQI award(s).</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0"/>
                <w:numId w:val="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The award title(s) is consistent with unit 3.1 of QQI’s </w:t>
            </w:r>
            <w:r w:rsidRPr="000A3F70">
              <w:rPr>
                <w:rFonts w:ascii="Calibri" w:eastAsia="Times New Roman" w:hAnsi="Calibri" w:cs="Times New Roman"/>
                <w:i/>
                <w:sz w:val="20"/>
                <w:szCs w:val="20"/>
                <w:lang w:val="en-GB"/>
              </w:rPr>
              <w:t>Policy and Criteria for Making Awards.</w:t>
            </w:r>
          </w:p>
        </w:tc>
      </w:tr>
      <w:tr w:rsidR="00472A27" w:rsidRPr="000A3F70" w:rsidTr="0005598B">
        <w:tc>
          <w:tcPr>
            <w:tcW w:w="1196" w:type="dxa"/>
          </w:tcPr>
          <w:p w:rsidR="00472A27" w:rsidRPr="00CF0966" w:rsidRDefault="00472A27" w:rsidP="001C0F0B">
            <w:pPr>
              <w:rPr>
                <w:color w:val="C00000"/>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0"/>
                <w:numId w:val="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award title(s) is otherwise legitimate for example it must comply with applicable statutory, regulatory and professional body requirements.</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0"/>
                <w:numId w:val="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programme title and any embedded programme titles are</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1"/>
                <w:numId w:val="22"/>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Consistent with the title of the QQI award sought.</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1"/>
                <w:numId w:val="22"/>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Clear, accurate, succinct and fit for the purpose of informing prospective learners and other stakeholders. </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0"/>
                <w:numId w:val="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For each programme and embedded programme</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1"/>
                <w:numId w:val="21"/>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The </w:t>
            </w:r>
            <w:r w:rsidRPr="000A3F70">
              <w:rPr>
                <w:rFonts w:ascii="Calibri" w:eastAsia="Times New Roman" w:hAnsi="Calibri" w:cs="Times New Roman"/>
                <w:b/>
                <w:sz w:val="20"/>
                <w:szCs w:val="20"/>
                <w:lang w:val="en-GB"/>
              </w:rPr>
              <w:t>minimum intended programme learning outcomes</w:t>
            </w:r>
            <w:r w:rsidRPr="000A3F70">
              <w:rPr>
                <w:rFonts w:ascii="Calibri" w:eastAsia="Times New Roman" w:hAnsi="Calibri" w:cs="Times New Roman"/>
                <w:sz w:val="20"/>
                <w:szCs w:val="20"/>
                <w:lang w:val="en-GB"/>
              </w:rPr>
              <w:t xml:space="preserve"> and any other educational or training objectives of the programme are explicitly specified.</w:t>
            </w:r>
            <w:r w:rsidRPr="000A3F70">
              <w:rPr>
                <w:rFonts w:ascii="Calibri" w:eastAsia="Times New Roman" w:hAnsi="Calibri" w:cs="Times New Roman"/>
                <w:sz w:val="20"/>
                <w:szCs w:val="20"/>
                <w:vertAlign w:val="superscript"/>
                <w:lang w:val="en-GB"/>
              </w:rPr>
              <w:footnoteReference w:id="7"/>
            </w:r>
            <w:r w:rsidRPr="000A3F70">
              <w:rPr>
                <w:rFonts w:ascii="Calibri" w:eastAsia="Times New Roman" w:hAnsi="Calibri" w:cs="Times New Roman"/>
                <w:sz w:val="20"/>
                <w:szCs w:val="20"/>
                <w:lang w:val="en-GB"/>
              </w:rPr>
              <w:t xml:space="preserve"> </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1"/>
                <w:numId w:val="21"/>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The minimum intended programme learning outcomes to qualify for the QQI award sought are </w:t>
            </w:r>
            <w:r w:rsidRPr="000A3F70">
              <w:rPr>
                <w:rFonts w:ascii="Calibri" w:eastAsia="Times New Roman" w:hAnsi="Calibri" w:cs="Times New Roman"/>
                <w:b/>
                <w:sz w:val="20"/>
                <w:szCs w:val="20"/>
                <w:lang w:val="en-GB"/>
              </w:rPr>
              <w:t>consistent with</w:t>
            </w:r>
            <w:r w:rsidRPr="000A3F70">
              <w:rPr>
                <w:rFonts w:ascii="Calibri" w:eastAsia="Times New Roman" w:hAnsi="Calibri" w:cs="Times New Roman"/>
                <w:sz w:val="20"/>
                <w:szCs w:val="20"/>
                <w:lang w:val="en-GB"/>
              </w:rPr>
              <w:t xml:space="preserve"> the relevant QQI awards standards.  </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0"/>
                <w:numId w:val="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Where applicable, the </w:t>
            </w:r>
            <w:r w:rsidRPr="000A3F70">
              <w:rPr>
                <w:rFonts w:ascii="Calibri" w:eastAsia="Times New Roman" w:hAnsi="Calibri" w:cs="Times New Roman"/>
                <w:b/>
                <w:sz w:val="20"/>
                <w:szCs w:val="20"/>
                <w:lang w:val="en-GB"/>
              </w:rPr>
              <w:t>minimum intended module learning outcomes</w:t>
            </w:r>
            <w:r w:rsidRPr="000A3F70">
              <w:rPr>
                <w:rFonts w:ascii="Calibri" w:eastAsia="Times New Roman" w:hAnsi="Calibri" w:cs="Times New Roman"/>
                <w:sz w:val="20"/>
                <w:szCs w:val="20"/>
                <w:lang w:val="en-GB"/>
              </w:rPr>
              <w:t xml:space="preserve"> are explicitly specified for each of the programme’s modules.  </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0"/>
                <w:numId w:val="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Any QQI minor awards sought for those who complete the modules are specified, where applicable. </w:t>
            </w:r>
          </w:p>
        </w:tc>
      </w:tr>
      <w:tr w:rsidR="00472A27" w:rsidRPr="000A3F70" w:rsidTr="0005598B">
        <w:tc>
          <w:tcPr>
            <w:tcW w:w="1196" w:type="dxa"/>
          </w:tcPr>
          <w:p w:rsidR="00472A27" w:rsidRPr="000A3F70" w:rsidRDefault="00472A27" w:rsidP="001C0F0B">
            <w:pPr>
              <w:rPr>
                <w:sz w:val="20"/>
                <w:szCs w:val="20"/>
                <w:lang w:val="en-GB"/>
              </w:rPr>
            </w:pPr>
          </w:p>
        </w:tc>
        <w:tc>
          <w:tcPr>
            <w:tcW w:w="3028" w:type="dxa"/>
            <w:shd w:val="clear" w:color="auto" w:fill="auto"/>
          </w:tcPr>
          <w:p w:rsidR="00472A27" w:rsidRPr="000A3F70" w:rsidRDefault="00472A27" w:rsidP="001C0F0B">
            <w:pPr>
              <w:rPr>
                <w:rFonts w:ascii="Calibri" w:eastAsia="Times New Roman" w:hAnsi="Calibri" w:cs="Times New Roman"/>
                <w:lang w:val="en-GB"/>
              </w:rPr>
            </w:pPr>
          </w:p>
        </w:tc>
        <w:tc>
          <w:tcPr>
            <w:tcW w:w="4797" w:type="dxa"/>
            <w:shd w:val="clear" w:color="auto" w:fill="DEEAF6" w:themeFill="accent1" w:themeFillTint="33"/>
          </w:tcPr>
          <w:p w:rsidR="00472A27" w:rsidRPr="000A3F70" w:rsidRDefault="00472A27" w:rsidP="00C90305">
            <w:pPr>
              <w:numPr>
                <w:ilvl w:val="1"/>
                <w:numId w:val="20"/>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For each minor award specified, the minimum intended module learning outcomes to qualify for the award are consistent with relevant QQI minor awards standards.</w:t>
            </w:r>
            <w:r w:rsidRPr="000A3F70">
              <w:rPr>
                <w:rFonts w:ascii="Calibri" w:eastAsia="Times New Roman" w:hAnsi="Calibri" w:cs="Times New Roman"/>
                <w:sz w:val="20"/>
                <w:szCs w:val="20"/>
                <w:vertAlign w:val="superscript"/>
                <w:lang w:val="en-GB"/>
              </w:rPr>
              <w:footnoteReference w:id="8"/>
            </w:r>
            <w:r w:rsidRPr="000A3F70">
              <w:rPr>
                <w:rFonts w:ascii="Calibri" w:eastAsia="Times New Roman" w:hAnsi="Calibri" w:cs="Times New Roman"/>
                <w:sz w:val="20"/>
                <w:szCs w:val="20"/>
                <w:lang w:val="en-GB"/>
              </w:rPr>
              <w:t xml:space="preserve"> </w:t>
            </w:r>
          </w:p>
        </w:tc>
      </w:tr>
    </w:tbl>
    <w:p w:rsidR="00493450" w:rsidRPr="000A3F70" w:rsidRDefault="00493450" w:rsidP="00493450"/>
    <w:p w:rsidR="00915AEF" w:rsidRPr="003E271E" w:rsidRDefault="00915AEF" w:rsidP="00B70C8A">
      <w:pPr>
        <w:spacing w:line="240" w:lineRule="auto"/>
        <w:ind w:left="-426"/>
      </w:pPr>
      <w:r w:rsidRPr="003E271E">
        <w:t>The panel found that the aims, objectives and rationales for the programmes were expressed clearly. It was noted that the 60 ECTs Post Graduate Diploma in</w:t>
      </w:r>
      <w:r w:rsidR="003E6CE8" w:rsidRPr="003E271E">
        <w:t xml:space="preserve"> Arts in</w:t>
      </w:r>
      <w:r w:rsidRPr="003E271E">
        <w:t xml:space="preserve"> Addiction Studies will be available to learners who have successfully completed the taught modules of the MA in Addiction Studies but are prevented from progressing with their studies.</w:t>
      </w:r>
    </w:p>
    <w:p w:rsidR="00915AEF" w:rsidRPr="003E271E" w:rsidRDefault="00915AEF" w:rsidP="00B70C8A">
      <w:pPr>
        <w:spacing w:line="240" w:lineRule="auto"/>
        <w:ind w:left="-426"/>
      </w:pPr>
      <w:r w:rsidRPr="003E271E">
        <w:t>It was concluded that the programme and module learning outcomes ha</w:t>
      </w:r>
      <w:r w:rsidR="00275E08">
        <w:t xml:space="preserve">ve been clearly outlined and </w:t>
      </w:r>
      <w:r w:rsidR="00275E08" w:rsidRPr="00FC10F8">
        <w:t>were</w:t>
      </w:r>
      <w:r w:rsidRPr="00FC10F8">
        <w:t xml:space="preserve"> </w:t>
      </w:r>
      <w:r w:rsidRPr="003E271E">
        <w:t>appropriate to the level of the awards. The titles of the programmes were deemed to be appropriate and in line with the QQI standard for the Major Award Type on the NFQ.</w:t>
      </w:r>
    </w:p>
    <w:p w:rsidR="00915AEF" w:rsidRPr="003E271E" w:rsidRDefault="00915AEF" w:rsidP="00B70C8A">
      <w:pPr>
        <w:spacing w:line="240" w:lineRule="auto"/>
        <w:ind w:left="-426"/>
      </w:pPr>
      <w:r w:rsidRPr="003E271E">
        <w:t>It was noted th</w:t>
      </w:r>
      <w:r w:rsidR="00CF0966" w:rsidRPr="003E271E">
        <w:t>at the minimum intended programme learning outcomes</w:t>
      </w:r>
      <w:r w:rsidRPr="003E271E">
        <w:t xml:space="preserve"> for the MA in Psychoanalytic Psychotherapy were informed by the QQI Counselling and Psychotherapy Awards Standards and have</w:t>
      </w:r>
      <w:r>
        <w:rPr>
          <w:color w:val="C00000"/>
        </w:rPr>
        <w:t xml:space="preserve"> </w:t>
      </w:r>
      <w:r w:rsidRPr="003E271E">
        <w:t xml:space="preserve">been mapped against these standards. In the case of </w:t>
      </w:r>
      <w:r w:rsidR="00895424" w:rsidRPr="003E271E">
        <w:t>the MA</w:t>
      </w:r>
      <w:r w:rsidR="00CF0966" w:rsidRPr="003E271E">
        <w:t xml:space="preserve"> in Addiction Studies the minimum intended programme learning outcomes</w:t>
      </w:r>
      <w:r w:rsidR="00895424" w:rsidRPr="003E271E">
        <w:t xml:space="preserve"> were informed by the QQI Generic Awards Standards and have been mapped against these standards.</w:t>
      </w:r>
    </w:p>
    <w:p w:rsidR="00B70C8A" w:rsidRPr="003E271E" w:rsidRDefault="00B360FB" w:rsidP="00B11A81">
      <w:pPr>
        <w:spacing w:line="240" w:lineRule="auto"/>
        <w:ind w:left="-426"/>
      </w:pPr>
      <w:r w:rsidRPr="003E271E">
        <w:t xml:space="preserve"> </w:t>
      </w:r>
      <w:r w:rsidR="00895424" w:rsidRPr="003E271E">
        <w:t>The panel acknowledged</w:t>
      </w:r>
      <w:r w:rsidR="00493450" w:rsidRPr="003E271E">
        <w:t xml:space="preserve"> that the MA in Psychoanalytic Psychotherapy and the MA in Addiction Studies, which incl</w:t>
      </w:r>
      <w:r w:rsidR="00895424" w:rsidRPr="003E271E">
        <w:t>udes the embedded Post</w:t>
      </w:r>
      <w:r w:rsidR="00493450" w:rsidRPr="003E271E">
        <w:t xml:space="preserve"> </w:t>
      </w:r>
      <w:r w:rsidR="00895424" w:rsidRPr="003E271E">
        <w:t xml:space="preserve">Graduate Diploma </w:t>
      </w:r>
      <w:r w:rsidR="00493450" w:rsidRPr="003E271E">
        <w:t>in</w:t>
      </w:r>
      <w:r w:rsidR="003E6CE8" w:rsidRPr="003E271E">
        <w:t xml:space="preserve"> Arts in</w:t>
      </w:r>
      <w:r w:rsidR="00493450" w:rsidRPr="003E271E">
        <w:t xml:space="preserve"> Addiction Studies, are very distinct programmes.</w:t>
      </w:r>
      <w:r w:rsidR="00CF0966" w:rsidRPr="003E271E">
        <w:t xml:space="preserve"> T</w:t>
      </w:r>
      <w:r w:rsidR="00493450" w:rsidRPr="003E271E">
        <w:t>he MA in Psychoanalytic Psychotherapy is primarily a clinical programme. It is firmly rooted in theoretical education in the field of psychoanalytic psychotherapy.</w:t>
      </w:r>
      <w:r w:rsidR="004402BE" w:rsidRPr="003E271E">
        <w:t xml:space="preserve"> </w:t>
      </w:r>
      <w:r w:rsidR="00493450" w:rsidRPr="003E271E">
        <w:t xml:space="preserve">The MA in Addiction Studies and the </w:t>
      </w:r>
      <w:r w:rsidR="00895424" w:rsidRPr="003E271E">
        <w:t>Post Graduate Diploma</w:t>
      </w:r>
      <w:r w:rsidR="00493450" w:rsidRPr="003E271E">
        <w:t xml:space="preserve"> in Addiction Studies are academic programmes. The programmes provide a theoretical examination of addiction and there are no clinical components. </w:t>
      </w:r>
    </w:p>
    <w:p w:rsidR="009C7C20" w:rsidRDefault="00493450" w:rsidP="009C7C20">
      <w:pPr>
        <w:spacing w:line="240" w:lineRule="auto"/>
        <w:ind w:left="-426"/>
        <w:rPr>
          <w:rFonts w:eastAsia="Times New Roman"/>
        </w:rPr>
      </w:pPr>
      <w:r w:rsidRPr="003E271E">
        <w:t xml:space="preserve">It was noted that the MA in </w:t>
      </w:r>
      <w:r w:rsidR="00895424" w:rsidRPr="003E271E">
        <w:t>Addiction Studies and the Post Graduate</w:t>
      </w:r>
      <w:r w:rsidRPr="003E271E">
        <w:t xml:space="preserve"> Diploma in</w:t>
      </w:r>
      <w:r w:rsidR="003E6CE8" w:rsidRPr="003E271E">
        <w:t xml:space="preserve"> Arts in</w:t>
      </w:r>
      <w:r w:rsidRPr="003E271E">
        <w:t xml:space="preserve"> Addiction Studies had emerged</w:t>
      </w:r>
      <w:r w:rsidR="002C0C2D" w:rsidRPr="003E271E">
        <w:t xml:space="preserve"> from a predominating psychoanalytic perspective.</w:t>
      </w:r>
      <w:r w:rsidR="005748B8" w:rsidRPr="003E271E">
        <w:t xml:space="preserve"> Further course development </w:t>
      </w:r>
      <w:r w:rsidR="002C0C2D" w:rsidRPr="003E271E">
        <w:t>has sought to reflect other perspective</w:t>
      </w:r>
      <w:r w:rsidR="005748B8" w:rsidRPr="003E271E">
        <w:t xml:space="preserve">s </w:t>
      </w:r>
      <w:r w:rsidRPr="003E271E">
        <w:t xml:space="preserve">on addiction.  </w:t>
      </w:r>
      <w:r w:rsidR="002C0C2D" w:rsidRPr="003E271E">
        <w:t xml:space="preserve">As these changes have been made overtime, such as clinical visits </w:t>
      </w:r>
      <w:r w:rsidR="005748B8" w:rsidRPr="003E271E">
        <w:t>and opportunities</w:t>
      </w:r>
      <w:r w:rsidR="002C0C2D" w:rsidRPr="003E271E">
        <w:t xml:space="preserve"> to volunteer in </w:t>
      </w:r>
      <w:r w:rsidR="004402BE" w:rsidRPr="003E271E">
        <w:t>organisations providing services in the area of addiction,</w:t>
      </w:r>
      <w:r w:rsidR="002C0C2D" w:rsidRPr="003E271E">
        <w:t xml:space="preserve"> the identity of the course</w:t>
      </w:r>
      <w:r w:rsidR="005748B8" w:rsidRPr="003E271E">
        <w:t xml:space="preserve"> as a solely academic programme </w:t>
      </w:r>
      <w:r w:rsidRPr="003E271E">
        <w:t>was found to have been compromised</w:t>
      </w:r>
      <w:r w:rsidR="00CF0966" w:rsidRPr="003E271E">
        <w:t xml:space="preserve">. </w:t>
      </w:r>
      <w:r w:rsidR="002C0C2D" w:rsidRPr="003E271E">
        <w:t>There</w:t>
      </w:r>
      <w:r w:rsidRPr="003E271E">
        <w:t xml:space="preserve"> also</w:t>
      </w:r>
      <w:r w:rsidR="002C0C2D" w:rsidRPr="003E271E">
        <w:t xml:space="preserve"> appears to be</w:t>
      </w:r>
      <w:r w:rsidRPr="003E271E">
        <w:t xml:space="preserve"> some</w:t>
      </w:r>
      <w:r w:rsidR="00895424" w:rsidRPr="003E271E">
        <w:t xml:space="preserve"> divergence between</w:t>
      </w:r>
      <w:r w:rsidR="002C0C2D" w:rsidRPr="003E271E">
        <w:t xml:space="preserve"> the stated aims of the</w:t>
      </w:r>
      <w:r w:rsidR="004402BE" w:rsidRPr="003E271E">
        <w:t xml:space="preserve">se programmes </w:t>
      </w:r>
      <w:r w:rsidR="002C0C2D" w:rsidRPr="003E271E">
        <w:t>and the expectations of the students enrolling.</w:t>
      </w:r>
      <w:r w:rsidR="005748B8" w:rsidRPr="003E271E">
        <w:t xml:space="preserve"> </w:t>
      </w:r>
      <w:r w:rsidR="00CF5E5E" w:rsidRPr="003E271E">
        <w:t>Based on f</w:t>
      </w:r>
      <w:r w:rsidR="00895424" w:rsidRPr="003E271E">
        <w:t xml:space="preserve">eedback from students and graduates </w:t>
      </w:r>
      <w:r w:rsidR="00CF5E5E" w:rsidRPr="003E271E">
        <w:t>the panel concluded</w:t>
      </w:r>
      <w:r w:rsidR="00D2578D">
        <w:t xml:space="preserve"> that </w:t>
      </w:r>
      <w:r w:rsidR="00D2578D">
        <w:rPr>
          <w:rFonts w:eastAsia="Times New Roman"/>
        </w:rPr>
        <w:t>the students and graduates aspired towards a more applied focus, including practice.</w:t>
      </w:r>
      <w:bookmarkStart w:id="49" w:name="_Toc479176619"/>
      <w:bookmarkStart w:id="50" w:name="_Toc479176706"/>
    </w:p>
    <w:p w:rsidR="00472A27" w:rsidRPr="009C7C20" w:rsidRDefault="009C7C20" w:rsidP="009C7C20">
      <w:pPr>
        <w:pStyle w:val="Heading2"/>
        <w:rPr>
          <w:rFonts w:eastAsia="Times New Roman"/>
          <w:color w:val="auto"/>
        </w:rPr>
      </w:pPr>
      <w:r w:rsidRPr="009C7C20">
        <w:rPr>
          <w:rFonts w:eastAsia="Times New Roman"/>
          <w:color w:val="auto"/>
        </w:rPr>
        <w:t xml:space="preserve"> </w:t>
      </w:r>
      <w:bookmarkStart w:id="51" w:name="_Toc513221605"/>
      <w:r w:rsidR="005C0200" w:rsidRPr="009C7C20">
        <w:rPr>
          <w:rFonts w:eastAsia="Calibri"/>
          <w:color w:val="auto"/>
          <w:lang w:val="en-GB" w:eastAsia="en-IE"/>
        </w:rPr>
        <w:t xml:space="preserve">Criterion 3: </w:t>
      </w:r>
      <w:r w:rsidR="00472A27" w:rsidRPr="009C7C20">
        <w:rPr>
          <w:rFonts w:eastAsia="Calibri"/>
          <w:color w:val="auto"/>
          <w:lang w:val="en-GB" w:eastAsia="en-IE"/>
        </w:rPr>
        <w:t xml:space="preserve">The </w:t>
      </w:r>
      <w:r w:rsidR="00472A27" w:rsidRPr="009C7C20">
        <w:rPr>
          <w:rFonts w:eastAsia="Calibri"/>
          <w:color w:val="auto"/>
          <w:lang w:eastAsia="en-IE"/>
        </w:rPr>
        <w:t>programme concept, implementation strategy, and its interpretation of QQI awards standards are well informed and soundly based</w:t>
      </w:r>
      <w:r w:rsidR="00472A27" w:rsidRPr="009C7C20">
        <w:rPr>
          <w:rFonts w:ascii="Calibri" w:eastAsia="Times New Roman" w:hAnsi="Calibri"/>
          <w:color w:val="auto"/>
        </w:rPr>
        <w:t xml:space="preserve"> </w:t>
      </w:r>
      <w:r w:rsidR="00472A27" w:rsidRPr="009C7C20">
        <w:rPr>
          <w:rFonts w:eastAsia="Calibri"/>
          <w:color w:val="auto"/>
          <w:lang w:eastAsia="en-IE"/>
        </w:rPr>
        <w:t>(considering social, cultural, educational, professional and employment objectives)</w:t>
      </w:r>
      <w:bookmarkEnd w:id="49"/>
      <w:bookmarkEnd w:id="50"/>
      <w:r w:rsidRPr="009C7C20">
        <w:rPr>
          <w:rFonts w:eastAsia="Calibri"/>
          <w:color w:val="auto"/>
          <w:lang w:eastAsia="en-IE"/>
        </w:rPr>
        <w:t>.</w:t>
      </w:r>
      <w:bookmarkEnd w:id="51"/>
    </w:p>
    <w:tbl>
      <w:tblPr>
        <w:tblStyle w:val="TableGrid"/>
        <w:tblW w:w="0" w:type="auto"/>
        <w:tblInd w:w="-5" w:type="dxa"/>
        <w:tblLook w:val="04A0" w:firstRow="1" w:lastRow="0" w:firstColumn="1" w:lastColumn="0" w:noHBand="0" w:noVBand="1"/>
      </w:tblPr>
      <w:tblGrid>
        <w:gridCol w:w="1196"/>
        <w:gridCol w:w="3382"/>
        <w:gridCol w:w="4443"/>
      </w:tblGrid>
      <w:tr w:rsidR="00472A27" w:rsidRPr="009C7C20" w:rsidTr="001C0F0B">
        <w:tc>
          <w:tcPr>
            <w:tcW w:w="1134" w:type="dxa"/>
            <w:shd w:val="clear" w:color="auto" w:fill="DEEAF6" w:themeFill="accent1" w:themeFillTint="33"/>
          </w:tcPr>
          <w:p w:rsidR="00472A27" w:rsidRPr="009C7C20" w:rsidRDefault="00472A27" w:rsidP="001C0F0B">
            <w:pPr>
              <w:contextualSpacing/>
              <w:rPr>
                <w:rFonts w:ascii="Calibri" w:eastAsia="Times New Roman" w:hAnsi="Calibri" w:cs="Times New Roman"/>
                <w:b/>
                <w:sz w:val="20"/>
                <w:szCs w:val="20"/>
                <w:lang w:val="en-GB"/>
              </w:rPr>
            </w:pPr>
            <w:r w:rsidRPr="009C7C20">
              <w:rPr>
                <w:rFonts w:ascii="Calibri" w:eastAsia="Times New Roman" w:hAnsi="Calibri" w:cs="Times New Roman"/>
                <w:b/>
                <w:sz w:val="20"/>
                <w:szCs w:val="20"/>
                <w:lang w:val="en-GB"/>
              </w:rPr>
              <w:t>Satisfactory</w:t>
            </w:r>
            <w:r w:rsidR="00146CEF" w:rsidRPr="009C7C20">
              <w:rPr>
                <w:rFonts w:ascii="Calibri" w:eastAsia="Times New Roman" w:hAnsi="Calibri" w:cs="Times New Roman"/>
                <w:b/>
                <w:sz w:val="20"/>
                <w:szCs w:val="20"/>
                <w:lang w:val="en-GB"/>
              </w:rPr>
              <w:t xml:space="preserve"> Y</w:t>
            </w:r>
            <w:r w:rsidRPr="009C7C20">
              <w:rPr>
                <w:rFonts w:ascii="Calibri" w:eastAsia="Times New Roman" w:hAnsi="Calibri" w:cs="Times New Roman"/>
                <w:b/>
                <w:sz w:val="20"/>
                <w:szCs w:val="20"/>
                <w:lang w:val="en-GB"/>
              </w:rPr>
              <w:t>es</w:t>
            </w:r>
          </w:p>
        </w:tc>
        <w:tc>
          <w:tcPr>
            <w:tcW w:w="3418" w:type="dxa"/>
            <w:shd w:val="clear" w:color="auto" w:fill="DEEAF6" w:themeFill="accent1" w:themeFillTint="33"/>
          </w:tcPr>
          <w:p w:rsidR="00472A27" w:rsidRPr="009C7C20" w:rsidRDefault="00472A27" w:rsidP="001C0F0B">
            <w:pPr>
              <w:rPr>
                <w:b/>
                <w:lang w:val="en-GB"/>
              </w:rPr>
            </w:pPr>
            <w:r w:rsidRPr="009C7C20">
              <w:rPr>
                <w:b/>
                <w:lang w:val="en-GB"/>
              </w:rPr>
              <w:t>Comment</w:t>
            </w:r>
          </w:p>
        </w:tc>
        <w:tc>
          <w:tcPr>
            <w:tcW w:w="4469" w:type="dxa"/>
            <w:shd w:val="clear" w:color="auto" w:fill="DEEAF6" w:themeFill="accent1" w:themeFillTint="33"/>
          </w:tcPr>
          <w:p w:rsidR="00472A27" w:rsidRPr="009C7C20" w:rsidRDefault="00472A27" w:rsidP="001C0F0B">
            <w:pPr>
              <w:contextualSpacing/>
              <w:rPr>
                <w:rFonts w:ascii="Calibri" w:eastAsia="Times New Roman" w:hAnsi="Calibri" w:cs="Times New Roman"/>
                <w:b/>
                <w:sz w:val="20"/>
                <w:szCs w:val="20"/>
                <w:lang w:val="en-GB"/>
              </w:rPr>
            </w:pPr>
            <w:r w:rsidRPr="009C7C20">
              <w:rPr>
                <w:rFonts w:ascii="Calibri" w:eastAsia="Times New Roman" w:hAnsi="Calibri" w:cs="Times New Roman"/>
                <w:b/>
                <w:sz w:val="20"/>
                <w:szCs w:val="20"/>
                <w:lang w:val="en-GB"/>
              </w:rPr>
              <w:t>Sub-criteria</w:t>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0"/>
                <w:numId w:val="2"/>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The development of the programme and the intended programme learning outcomes has sought out and taken into account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9C7C20">
              <w:rPr>
                <w:rFonts w:ascii="Calibri" w:eastAsia="Times New Roman" w:hAnsi="Calibri" w:cs="Times New Roman"/>
                <w:sz w:val="20"/>
                <w:szCs w:val="20"/>
                <w:vertAlign w:val="superscript"/>
                <w:lang w:val="en-GB"/>
              </w:rPr>
              <w:footnoteReference w:id="9"/>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0"/>
                <w:numId w:val="2"/>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 xml:space="preserve">The interpretation of awards standards has been adequately informed and researched;   considering the programme aims and objectives and minimum intended programme (and, where applicable, modular) learning outcomes. </w:t>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1"/>
                <w:numId w:val="19"/>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There is a satisfactory rationale for providing the programme.</w:t>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1"/>
                <w:numId w:val="19"/>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The proposed programme compares favourably with existing related (comparable) programmes in Ireland and beyond. Comparators should be as close as it is possible to find.</w:t>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1"/>
                <w:numId w:val="19"/>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There is support for the introduction of the programme (such as from employers, or professional, regulatory or statutory bodies).</w:t>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1"/>
                <w:numId w:val="19"/>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There is evidence</w:t>
            </w:r>
            <w:r w:rsidRPr="009C7C20">
              <w:rPr>
                <w:rFonts w:ascii="Calibri" w:eastAsia="Times New Roman" w:hAnsi="Calibri" w:cs="Times New Roman"/>
                <w:sz w:val="20"/>
                <w:szCs w:val="20"/>
                <w:vertAlign w:val="superscript"/>
                <w:lang w:val="en-GB"/>
              </w:rPr>
              <w:footnoteReference w:id="10"/>
            </w:r>
            <w:r w:rsidRPr="009C7C20">
              <w:rPr>
                <w:rFonts w:ascii="Calibri" w:eastAsia="Times New Roman" w:hAnsi="Calibri" w:cs="Times New Roman"/>
                <w:sz w:val="20"/>
                <w:szCs w:val="20"/>
                <w:lang w:val="en-GB"/>
              </w:rPr>
              <w:t xml:space="preserve"> of learner demand for the programme.</w:t>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1"/>
                <w:numId w:val="19"/>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There is evidence of employment opportunities for graduates where relevant</w:t>
            </w:r>
            <w:r w:rsidRPr="009C7C20">
              <w:rPr>
                <w:rFonts w:ascii="Calibri" w:eastAsia="Times New Roman" w:hAnsi="Calibri" w:cs="Times New Roman"/>
                <w:sz w:val="20"/>
                <w:szCs w:val="20"/>
                <w:vertAlign w:val="superscript"/>
                <w:lang w:val="en-GB"/>
              </w:rPr>
              <w:footnoteReference w:id="11"/>
            </w:r>
            <w:r w:rsidRPr="009C7C20">
              <w:rPr>
                <w:rFonts w:ascii="Calibri" w:eastAsia="Times New Roman" w:hAnsi="Calibri" w:cs="Times New Roman"/>
                <w:sz w:val="20"/>
                <w:szCs w:val="20"/>
                <w:lang w:val="en-GB"/>
              </w:rPr>
              <w:t>.</w:t>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1"/>
                <w:numId w:val="19"/>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The programme meets genuine education and training needs.</w:t>
            </w:r>
            <w:r w:rsidRPr="009C7C20">
              <w:rPr>
                <w:rFonts w:ascii="Calibri" w:eastAsia="Times New Roman" w:hAnsi="Calibri" w:cs="Times New Roman"/>
                <w:sz w:val="20"/>
                <w:szCs w:val="20"/>
                <w:vertAlign w:val="superscript"/>
                <w:lang w:val="en-GB"/>
              </w:rPr>
              <w:footnoteReference w:id="12"/>
            </w:r>
            <w:r w:rsidRPr="009C7C20">
              <w:rPr>
                <w:rFonts w:ascii="Calibri" w:eastAsia="Times New Roman" w:hAnsi="Calibri" w:cs="Times New Roman"/>
                <w:sz w:val="20"/>
                <w:szCs w:val="20"/>
                <w:lang w:val="en-GB"/>
              </w:rPr>
              <w:t xml:space="preserve"> </w:t>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0"/>
                <w:numId w:val="2"/>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There are mechanisms to keep the programme updated in consultation with internal and external stakeholders.</w:t>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0"/>
                <w:numId w:val="2"/>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Employers and practitioners in the cases of vocational and professional awards have been systematically involved in the programme design where the programme is vocationally or professionally oriented.</w:t>
            </w:r>
          </w:p>
        </w:tc>
      </w:tr>
      <w:tr w:rsidR="00472A27" w:rsidRPr="009C7C20" w:rsidTr="001C0F0B">
        <w:tc>
          <w:tcPr>
            <w:tcW w:w="1134" w:type="dxa"/>
          </w:tcPr>
          <w:p w:rsidR="00472A27" w:rsidRPr="009C7C20" w:rsidRDefault="00472A27" w:rsidP="001C0F0B">
            <w:pPr>
              <w:rPr>
                <w:sz w:val="20"/>
                <w:szCs w:val="20"/>
                <w:lang w:val="en-GB"/>
              </w:rPr>
            </w:pPr>
          </w:p>
        </w:tc>
        <w:tc>
          <w:tcPr>
            <w:tcW w:w="3418" w:type="dxa"/>
            <w:shd w:val="clear" w:color="auto" w:fill="auto"/>
          </w:tcPr>
          <w:p w:rsidR="00472A27" w:rsidRPr="009C7C20" w:rsidRDefault="00472A27" w:rsidP="001C0F0B">
            <w:pPr>
              <w:rPr>
                <w:lang w:val="en-GB"/>
              </w:rPr>
            </w:pPr>
          </w:p>
        </w:tc>
        <w:tc>
          <w:tcPr>
            <w:tcW w:w="4469" w:type="dxa"/>
            <w:shd w:val="clear" w:color="auto" w:fill="DEEAF6" w:themeFill="accent1" w:themeFillTint="33"/>
          </w:tcPr>
          <w:p w:rsidR="00472A27" w:rsidRPr="009C7C20" w:rsidRDefault="00472A27" w:rsidP="00C90305">
            <w:pPr>
              <w:numPr>
                <w:ilvl w:val="0"/>
                <w:numId w:val="2"/>
              </w:numPr>
              <w:contextualSpacing/>
              <w:rPr>
                <w:rFonts w:ascii="Calibri" w:eastAsia="Times New Roman" w:hAnsi="Calibri" w:cs="Times New Roman"/>
                <w:sz w:val="20"/>
                <w:szCs w:val="20"/>
                <w:lang w:val="en-GB"/>
              </w:rPr>
            </w:pPr>
            <w:r w:rsidRPr="009C7C20">
              <w:rPr>
                <w:rFonts w:ascii="Calibri" w:eastAsia="Times New Roman" w:hAnsi="Calibri" w:cs="Times New Roman"/>
                <w:sz w:val="20"/>
                <w:szCs w:val="20"/>
                <w:lang w:val="en-GB"/>
              </w:rPr>
              <w:t>The programme satisfies any validation-related criteria attaching to the applicable awards standards and QQI awards specifications.</w:t>
            </w:r>
          </w:p>
        </w:tc>
      </w:tr>
    </w:tbl>
    <w:p w:rsidR="00472A27" w:rsidRPr="000A3F70" w:rsidRDefault="00472A27" w:rsidP="00472A27"/>
    <w:p w:rsidR="0052709A" w:rsidRPr="000A3F70" w:rsidRDefault="008016CD" w:rsidP="008016CD">
      <w:r w:rsidRPr="000A3F70">
        <w:t xml:space="preserve">The panel was informed of the comprehensive consultation process undertaken for this review, a description of which is provided in Section 3.1 of this report. </w:t>
      </w:r>
    </w:p>
    <w:p w:rsidR="0052709A" w:rsidRPr="00FC10F8" w:rsidRDefault="008016CD" w:rsidP="008016CD">
      <w:r w:rsidRPr="003E271E">
        <w:t xml:space="preserve"> </w:t>
      </w:r>
      <w:r w:rsidR="00146CEF" w:rsidRPr="003E271E">
        <w:t>The panel was</w:t>
      </w:r>
      <w:r w:rsidR="005748B8" w:rsidRPr="003E271E">
        <w:t xml:space="preserve"> updated </w:t>
      </w:r>
      <w:r w:rsidR="00146CEF" w:rsidRPr="003E271E">
        <w:t xml:space="preserve">around the issues in regard to the </w:t>
      </w:r>
      <w:r w:rsidR="005748B8" w:rsidRPr="003E271E">
        <w:t>APPI</w:t>
      </w:r>
      <w:r w:rsidRPr="003E271E">
        <w:t xml:space="preserve"> which now requires</w:t>
      </w:r>
      <w:r w:rsidR="0052709A" w:rsidRPr="003E271E">
        <w:t xml:space="preserve"> students to have four years formal</w:t>
      </w:r>
      <w:r w:rsidRPr="003E271E">
        <w:t xml:space="preserve"> st</w:t>
      </w:r>
      <w:r w:rsidR="0052709A" w:rsidRPr="003E271E">
        <w:t xml:space="preserve">udy in psychoanalysis to gain accreditation as a </w:t>
      </w:r>
      <w:r w:rsidRPr="003E271E">
        <w:t>psychoanalyst</w:t>
      </w:r>
      <w:r w:rsidR="004265F3">
        <w:rPr>
          <w:color w:val="C00000"/>
        </w:rPr>
        <w:t xml:space="preserve">. </w:t>
      </w:r>
      <w:r w:rsidR="00275E08" w:rsidRPr="00FC10F8">
        <w:t>As the</w:t>
      </w:r>
      <w:r w:rsidR="0052709A" w:rsidRPr="00FC10F8">
        <w:t xml:space="preserve"> MA in Psychoanalytic Psychotherapy is of three years’ duration, graduates would be required to undergo a further year’s study before they can a</w:t>
      </w:r>
      <w:r w:rsidR="00146CEF" w:rsidRPr="00FC10F8">
        <w:t xml:space="preserve">pply for </w:t>
      </w:r>
      <w:r w:rsidR="003E271E" w:rsidRPr="00FC10F8">
        <w:t xml:space="preserve">membership </w:t>
      </w:r>
      <w:r w:rsidR="00146CEF" w:rsidRPr="00FC10F8">
        <w:t xml:space="preserve">of </w:t>
      </w:r>
      <w:r w:rsidR="0052709A" w:rsidRPr="00FC10F8">
        <w:t>APPI.</w:t>
      </w:r>
    </w:p>
    <w:p w:rsidR="00146CEF" w:rsidRPr="003E271E" w:rsidRDefault="00146CEF" w:rsidP="008016CD">
      <w:r w:rsidRPr="003E271E">
        <w:t>The panel was informed that DBS has established a transition route with St Vincent's University Hospital to provide access to a one year post-Masters programme which would allow for professional recognition. The panel was also advised of the ongoing work being done by CORU towards the introduction of statutory regulation of the psychotherapy profession.</w:t>
      </w:r>
    </w:p>
    <w:p w:rsidR="000C772E" w:rsidRPr="003E271E" w:rsidRDefault="00146CEF" w:rsidP="008016CD">
      <w:r w:rsidRPr="003E271E">
        <w:t>It was cl</w:t>
      </w:r>
      <w:r w:rsidR="00FC6F5E" w:rsidRPr="003E271E">
        <w:t>ear from feedback from academic staff</w:t>
      </w:r>
      <w:r w:rsidRPr="003E271E">
        <w:t xml:space="preserve"> </w:t>
      </w:r>
      <w:r w:rsidR="005748B8" w:rsidRPr="003E271E">
        <w:t xml:space="preserve">that </w:t>
      </w:r>
      <w:r w:rsidRPr="003E271E">
        <w:t>DBS has</w:t>
      </w:r>
      <w:r w:rsidR="000C772E" w:rsidRPr="003E271E">
        <w:t xml:space="preserve"> been proactive in keeping abreast of developments</w:t>
      </w:r>
      <w:r w:rsidR="00FC6F5E" w:rsidRPr="003E271E">
        <w:t xml:space="preserve"> and contributing to discussions. Students on the programme confirmed that they were being kept informed of developments.</w:t>
      </w:r>
    </w:p>
    <w:p w:rsidR="003F1B94" w:rsidRPr="000A3F70" w:rsidRDefault="0043135C" w:rsidP="008016CD">
      <w:r w:rsidRPr="000A3F70">
        <w:t xml:space="preserve">It was noted that the MA </w:t>
      </w:r>
      <w:r w:rsidR="00FC6F5E">
        <w:t xml:space="preserve">in Addiction Studies </w:t>
      </w:r>
      <w:r w:rsidRPr="000A3F70">
        <w:t>had an emphasis on</w:t>
      </w:r>
      <w:r w:rsidR="00CF298B">
        <w:t xml:space="preserve"> understanding</w:t>
      </w:r>
      <w:r w:rsidRPr="000A3F70">
        <w:t xml:space="preserve"> the treatment of addiction from a psychoanalytic perspective as a core element in the programmes. The panel noted that there was consider</w:t>
      </w:r>
      <w:r w:rsidR="00F358AB" w:rsidRPr="000A3F70">
        <w:t>ably less emphasis on areas</w:t>
      </w:r>
      <w:r w:rsidRPr="000A3F70">
        <w:t xml:space="preserve"> such as prevention, harm reduction, recovery and rehabilitation</w:t>
      </w:r>
      <w:r w:rsidR="00F358AB" w:rsidRPr="000A3F70">
        <w:t xml:space="preserve">, all areas </w:t>
      </w:r>
      <w:r w:rsidR="003F1B94" w:rsidRPr="000A3F70">
        <w:t>under consideration in for example, the formulation of the current national drugs st</w:t>
      </w:r>
      <w:r w:rsidR="00895736">
        <w:t>rategy.  T</w:t>
      </w:r>
      <w:r w:rsidR="003F1B94" w:rsidRPr="000A3F70">
        <w:t xml:space="preserve">hey further noted that there was an opportunity to provide more context on the career paths that had been opened up to graduates of the </w:t>
      </w:r>
      <w:r w:rsidR="00B11A81" w:rsidRPr="000A3F70">
        <w:t>programme.</w:t>
      </w:r>
    </w:p>
    <w:p w:rsidR="0043135C" w:rsidRPr="003E271E" w:rsidRDefault="00FC6F5E" w:rsidP="008016CD">
      <w:r w:rsidRPr="003E271E">
        <w:t>Students and graduates with whom</w:t>
      </w:r>
      <w:r w:rsidR="00895736" w:rsidRPr="003E271E">
        <w:t xml:space="preserve"> the panel</w:t>
      </w:r>
      <w:r w:rsidR="00F73E9F" w:rsidRPr="003E271E">
        <w:t xml:space="preserve"> met </w:t>
      </w:r>
      <w:r w:rsidR="003F1B94" w:rsidRPr="003E271E">
        <w:t>indicated that the programme was useful in enabling them to broaden</w:t>
      </w:r>
      <w:r w:rsidR="00B11A81" w:rsidRPr="003E271E">
        <w:t xml:space="preserve"> their perspective on addictio</w:t>
      </w:r>
      <w:r w:rsidRPr="003E271E">
        <w:t>n. Refer to Section 7.7 of this report for graduate destinations.</w:t>
      </w:r>
    </w:p>
    <w:p w:rsidR="000F524C" w:rsidRPr="003E271E" w:rsidRDefault="00FC6F5E" w:rsidP="00472A27">
      <w:r w:rsidRPr="003E271E">
        <w:t>The panel noted that the comparator analysis for the MA in Addiction Studies used two providers from the USA and Australia. It was recognised that at the time of the site visit, there were no other post graduate programmes in Addiction Studies offered by providers in Ireland. However the panel was aware</w:t>
      </w:r>
      <w:r w:rsidR="00ED6B93" w:rsidRPr="003E271E">
        <w:t xml:space="preserve"> that Masters programmes in the field of Addiction will be available at Griffith College and Trinity College Dublin from September 2018.</w:t>
      </w:r>
    </w:p>
    <w:p w:rsidR="00472A27" w:rsidRPr="000A3F70" w:rsidRDefault="00472A27" w:rsidP="00472A27">
      <w:pPr>
        <w:pStyle w:val="NoSpacing"/>
      </w:pPr>
    </w:p>
    <w:p w:rsidR="00472A27" w:rsidRPr="000A3F70" w:rsidRDefault="00EF24D1" w:rsidP="00C90305">
      <w:pPr>
        <w:pStyle w:val="Heading2"/>
        <w:numPr>
          <w:ilvl w:val="1"/>
          <w:numId w:val="39"/>
        </w:numPr>
        <w:rPr>
          <w:rFonts w:eastAsia="Times New Roman"/>
          <w:color w:val="auto"/>
          <w:lang w:val="en-GB"/>
        </w:rPr>
      </w:pPr>
      <w:bookmarkStart w:id="52" w:name="_Toc431134555"/>
      <w:bookmarkStart w:id="53" w:name="_Toc479176623"/>
      <w:bookmarkStart w:id="54" w:name="_Toc479176710"/>
      <w:bookmarkStart w:id="55" w:name="_Toc513221606"/>
      <w:r w:rsidRPr="000A3F70">
        <w:rPr>
          <w:rFonts w:eastAsia="Times New Roman"/>
          <w:color w:val="auto"/>
          <w:lang w:val="en-GB"/>
        </w:rPr>
        <w:t>Criterion 4:</w:t>
      </w:r>
      <w:r w:rsidR="0005598B">
        <w:rPr>
          <w:rFonts w:eastAsia="Times New Roman"/>
          <w:color w:val="auto"/>
          <w:lang w:val="en-GB"/>
        </w:rPr>
        <w:t xml:space="preserve"> </w:t>
      </w:r>
      <w:r w:rsidR="00472A27" w:rsidRPr="000A3F70">
        <w:rPr>
          <w:rFonts w:eastAsia="Times New Roman"/>
          <w:color w:val="auto"/>
          <w:lang w:val="en-GB"/>
        </w:rPr>
        <w:t>The programme’s access, transfer and progression</w:t>
      </w:r>
      <w:bookmarkEnd w:id="52"/>
      <w:r w:rsidR="00472A27" w:rsidRPr="000A3F70">
        <w:rPr>
          <w:rFonts w:eastAsia="Times New Roman"/>
          <w:color w:val="auto"/>
          <w:lang w:val="en-GB"/>
        </w:rPr>
        <w:t xml:space="preserve"> arrangements are satisfactory</w:t>
      </w:r>
      <w:bookmarkEnd w:id="53"/>
      <w:bookmarkEnd w:id="54"/>
      <w:bookmarkEnd w:id="55"/>
    </w:p>
    <w:tbl>
      <w:tblPr>
        <w:tblStyle w:val="TableGrid"/>
        <w:tblW w:w="0" w:type="auto"/>
        <w:tblInd w:w="-5" w:type="dxa"/>
        <w:tblLook w:val="04A0" w:firstRow="1" w:lastRow="0" w:firstColumn="1" w:lastColumn="0" w:noHBand="0" w:noVBand="1"/>
      </w:tblPr>
      <w:tblGrid>
        <w:gridCol w:w="1196"/>
        <w:gridCol w:w="3409"/>
        <w:gridCol w:w="4416"/>
      </w:tblGrid>
      <w:tr w:rsidR="00472A27" w:rsidRPr="000A3F70" w:rsidTr="001C0F0B">
        <w:tc>
          <w:tcPr>
            <w:tcW w:w="1196" w:type="dxa"/>
            <w:shd w:val="clear" w:color="auto" w:fill="DEEAF6" w:themeFill="accent1" w:themeFillTint="33"/>
          </w:tcPr>
          <w:p w:rsidR="00472A27" w:rsidRPr="000A3F70" w:rsidRDefault="00C740D3" w:rsidP="001C0F0B">
            <w:pPr>
              <w:contextualSpacing/>
              <w:rPr>
                <w:rFonts w:ascii="Calibri" w:eastAsia="Times New Roman" w:hAnsi="Calibri" w:cs="Times New Roman"/>
                <w:b/>
                <w:sz w:val="20"/>
                <w:szCs w:val="20"/>
                <w:lang w:val="en-GB"/>
              </w:rPr>
            </w:pPr>
            <w:r>
              <w:rPr>
                <w:rFonts w:ascii="Calibri" w:eastAsia="Times New Roman" w:hAnsi="Calibri" w:cs="Times New Roman"/>
                <w:b/>
                <w:sz w:val="20"/>
                <w:szCs w:val="20"/>
                <w:lang w:val="en-GB"/>
              </w:rPr>
              <w:t xml:space="preserve">Satisfactory </w:t>
            </w:r>
            <w:r w:rsidRPr="003E271E">
              <w:rPr>
                <w:rFonts w:ascii="Calibri" w:eastAsia="Times New Roman" w:hAnsi="Calibri" w:cs="Times New Roman"/>
                <w:b/>
                <w:sz w:val="20"/>
                <w:szCs w:val="20"/>
                <w:lang w:val="en-GB"/>
              </w:rPr>
              <w:t>Y</w:t>
            </w:r>
            <w:r w:rsidR="00472A27" w:rsidRPr="003E271E">
              <w:rPr>
                <w:rFonts w:ascii="Calibri" w:eastAsia="Times New Roman" w:hAnsi="Calibri" w:cs="Times New Roman"/>
                <w:b/>
                <w:sz w:val="20"/>
                <w:szCs w:val="20"/>
                <w:lang w:val="en-GB"/>
              </w:rPr>
              <w:t>es</w:t>
            </w:r>
          </w:p>
        </w:tc>
        <w:tc>
          <w:tcPr>
            <w:tcW w:w="3409"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416"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Sub-criteria</w:t>
            </w:r>
          </w:p>
        </w:tc>
      </w:tr>
      <w:tr w:rsidR="00472A27" w:rsidRPr="000A3F70" w:rsidTr="001C0F0B">
        <w:tblPrEx>
          <w:shd w:val="clear" w:color="auto" w:fill="BDD6EE" w:themeFill="accent1" w:themeFillTint="66"/>
        </w:tblPrEx>
        <w:tc>
          <w:tcPr>
            <w:tcW w:w="1196" w:type="dxa"/>
            <w:shd w:val="clear" w:color="auto" w:fill="FFFFFF" w:themeFill="background1"/>
          </w:tcPr>
          <w:p w:rsidR="00472A27" w:rsidRPr="000A3F70" w:rsidRDefault="00472A27" w:rsidP="001C0F0B">
            <w:pPr>
              <w:rPr>
                <w:rFonts w:ascii="Calibri" w:eastAsia="Times New Roman" w:hAnsi="Calibri" w:cs="Times New Roman"/>
                <w:sz w:val="20"/>
                <w:szCs w:val="20"/>
              </w:rPr>
            </w:pPr>
          </w:p>
        </w:tc>
        <w:tc>
          <w:tcPr>
            <w:tcW w:w="3409" w:type="dxa"/>
            <w:shd w:val="clear" w:color="auto" w:fill="auto"/>
          </w:tcPr>
          <w:p w:rsidR="00472A27" w:rsidRPr="000A3F70" w:rsidRDefault="00472A27" w:rsidP="001C0F0B">
            <w:pPr>
              <w:rPr>
                <w:rFonts w:ascii="Calibri" w:eastAsia="Times New Roman" w:hAnsi="Calibri" w:cs="Times New Roman"/>
              </w:rPr>
            </w:pPr>
          </w:p>
        </w:tc>
        <w:tc>
          <w:tcPr>
            <w:tcW w:w="4416" w:type="dxa"/>
            <w:shd w:val="clear" w:color="auto" w:fill="DEEAF6" w:themeFill="accent1" w:themeFillTint="33"/>
          </w:tcPr>
          <w:p w:rsidR="00472A27" w:rsidRPr="000A3F70" w:rsidRDefault="00472A27" w:rsidP="00C90305">
            <w:pPr>
              <w:numPr>
                <w:ilvl w:val="0"/>
                <w:numId w:val="6"/>
              </w:numPr>
              <w:contextualSpacing/>
              <w:rPr>
                <w:rFonts w:ascii="Calibri" w:eastAsia="Times New Roman" w:hAnsi="Calibri" w:cs="Times New Roman"/>
                <w:sz w:val="20"/>
                <w:szCs w:val="20"/>
              </w:rPr>
            </w:pPr>
            <w:r w:rsidRPr="000A3F70">
              <w:rPr>
                <w:rFonts w:ascii="Calibri" w:eastAsia="Times New Roman" w:hAnsi="Calibri" w:cs="Times New Roman"/>
                <w:sz w:val="20"/>
                <w:szCs w:val="20"/>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0A3F70">
              <w:rPr>
                <w:rFonts w:ascii="Calibri" w:eastAsia="Times New Roman" w:hAnsi="Calibri" w:cs="Times New Roman"/>
                <w:sz w:val="20"/>
                <w:szCs w:val="20"/>
                <w:vertAlign w:val="superscript"/>
              </w:rPr>
              <w:footnoteReference w:id="13"/>
            </w:r>
            <w:r w:rsidRPr="000A3F70">
              <w:rPr>
                <w:rFonts w:ascii="Calibri" w:eastAsia="Times New Roman" w:hAnsi="Calibri" w:cs="Times New Roman"/>
                <w:sz w:val="20"/>
                <w:szCs w:val="20"/>
              </w:rPr>
              <w:t xml:space="preserve">.   </w:t>
            </w:r>
          </w:p>
        </w:tc>
      </w:tr>
      <w:tr w:rsidR="00472A27" w:rsidRPr="000A3F70" w:rsidTr="001C0F0B">
        <w:tblPrEx>
          <w:shd w:val="clear" w:color="auto" w:fill="BDD6EE" w:themeFill="accent1" w:themeFillTint="66"/>
        </w:tblPrEx>
        <w:tc>
          <w:tcPr>
            <w:tcW w:w="1196" w:type="dxa"/>
            <w:shd w:val="clear" w:color="auto" w:fill="FFFFFF" w:themeFill="background1"/>
          </w:tcPr>
          <w:p w:rsidR="00472A27" w:rsidRPr="000A3F70" w:rsidRDefault="00472A27" w:rsidP="001C0F0B">
            <w:pPr>
              <w:rPr>
                <w:rFonts w:ascii="Calibri" w:eastAsia="Times New Roman" w:hAnsi="Calibri" w:cs="Times New Roman"/>
                <w:sz w:val="20"/>
                <w:szCs w:val="20"/>
              </w:rPr>
            </w:pPr>
          </w:p>
        </w:tc>
        <w:tc>
          <w:tcPr>
            <w:tcW w:w="3409" w:type="dxa"/>
            <w:shd w:val="clear" w:color="auto" w:fill="auto"/>
          </w:tcPr>
          <w:p w:rsidR="00472A27" w:rsidRPr="000A3F70" w:rsidRDefault="00472A27" w:rsidP="001C0F0B">
            <w:pPr>
              <w:rPr>
                <w:rFonts w:ascii="Calibri" w:eastAsia="Times New Roman" w:hAnsi="Calibri" w:cs="Times New Roman"/>
              </w:rPr>
            </w:pPr>
          </w:p>
        </w:tc>
        <w:tc>
          <w:tcPr>
            <w:tcW w:w="4416" w:type="dxa"/>
            <w:shd w:val="clear" w:color="auto" w:fill="DEEAF6" w:themeFill="accent1" w:themeFillTint="33"/>
          </w:tcPr>
          <w:p w:rsidR="00472A27" w:rsidRPr="000A3F70" w:rsidRDefault="00472A27" w:rsidP="00C90305">
            <w:pPr>
              <w:numPr>
                <w:ilvl w:val="0"/>
                <w:numId w:val="6"/>
              </w:numPr>
              <w:contextualSpacing/>
              <w:rPr>
                <w:rFonts w:ascii="Calibri" w:eastAsia="Times New Roman" w:hAnsi="Calibri" w:cs="Times New Roman"/>
                <w:sz w:val="20"/>
                <w:szCs w:val="20"/>
              </w:rPr>
            </w:pPr>
            <w:r w:rsidRPr="000A3F70">
              <w:rPr>
                <w:rFonts w:ascii="Calibri" w:eastAsia="Times New Roman" w:hAnsi="Calibri" w:cs="Times New Roman"/>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tc>
      </w:tr>
      <w:tr w:rsidR="00472A27" w:rsidRPr="000A3F70" w:rsidTr="001C0F0B">
        <w:tblPrEx>
          <w:shd w:val="clear" w:color="auto" w:fill="BDD6EE" w:themeFill="accent1" w:themeFillTint="66"/>
        </w:tblPrEx>
        <w:tc>
          <w:tcPr>
            <w:tcW w:w="1196" w:type="dxa"/>
            <w:shd w:val="clear" w:color="auto" w:fill="FFFFFF" w:themeFill="background1"/>
          </w:tcPr>
          <w:p w:rsidR="00472A27" w:rsidRPr="000A3F70" w:rsidRDefault="00472A27" w:rsidP="001C0F0B">
            <w:pPr>
              <w:rPr>
                <w:rFonts w:ascii="Calibri" w:eastAsia="Times New Roman" w:hAnsi="Calibri" w:cs="Times New Roman"/>
                <w:sz w:val="20"/>
                <w:szCs w:val="20"/>
                <w:lang w:val="en-GB"/>
              </w:rPr>
            </w:pPr>
          </w:p>
        </w:tc>
        <w:tc>
          <w:tcPr>
            <w:tcW w:w="3409" w:type="dxa"/>
            <w:shd w:val="clear" w:color="auto" w:fill="auto"/>
          </w:tcPr>
          <w:p w:rsidR="00472A27" w:rsidRPr="000A3F70" w:rsidRDefault="00472A27" w:rsidP="001C0F0B">
            <w:pPr>
              <w:rPr>
                <w:rFonts w:ascii="Calibri" w:eastAsia="Times New Roman" w:hAnsi="Calibri" w:cs="Times New Roman"/>
                <w:lang w:val="en-GB"/>
              </w:rPr>
            </w:pPr>
          </w:p>
        </w:tc>
        <w:tc>
          <w:tcPr>
            <w:tcW w:w="4416" w:type="dxa"/>
            <w:shd w:val="clear" w:color="auto" w:fill="DEEAF6" w:themeFill="accent1" w:themeFillTint="33"/>
          </w:tcPr>
          <w:p w:rsidR="00472A27" w:rsidRPr="000A3F70" w:rsidRDefault="00472A27" w:rsidP="00C90305">
            <w:pPr>
              <w:numPr>
                <w:ilvl w:val="0"/>
                <w:numId w:val="6"/>
              </w:numPr>
              <w:contextualSpacing/>
              <w:rPr>
                <w:rFonts w:ascii="Calibri" w:eastAsia="Times New Roman" w:hAnsi="Calibri" w:cs="Times New Roman"/>
                <w:sz w:val="20"/>
                <w:szCs w:val="20"/>
              </w:rPr>
            </w:pPr>
            <w:r w:rsidRPr="000A3F70">
              <w:rPr>
                <w:rFonts w:ascii="Calibri" w:eastAsia="Times New Roman" w:hAnsi="Calibri" w:cs="Times New Roman"/>
                <w:sz w:val="20"/>
                <w:szCs w:val="20"/>
                <w:lang w:val="en-GB"/>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0A3F70">
              <w:rPr>
                <w:rFonts w:ascii="Calibri" w:eastAsia="Times New Roman" w:hAnsi="Calibri" w:cs="Times New Roman"/>
                <w:sz w:val="20"/>
                <w:szCs w:val="20"/>
                <w:vertAlign w:val="superscript"/>
                <w:lang w:val="en-GB"/>
              </w:rPr>
              <w:footnoteReference w:id="14"/>
            </w:r>
            <w:r w:rsidRPr="000A3F70">
              <w:rPr>
                <w:rFonts w:ascii="Calibri" w:eastAsia="Times New Roman" w:hAnsi="Calibri" w:cs="Times New Roman"/>
                <w:sz w:val="20"/>
                <w:szCs w:val="20"/>
                <w:lang w:val="en-GB"/>
              </w:rPr>
              <w:t>) in order to enable learners to reach the required standard for the QQI award.</w:t>
            </w:r>
          </w:p>
        </w:tc>
      </w:tr>
      <w:tr w:rsidR="00472A27" w:rsidRPr="000A3F70" w:rsidTr="001C0F0B">
        <w:tblPrEx>
          <w:shd w:val="clear" w:color="auto" w:fill="BDD6EE" w:themeFill="accent1" w:themeFillTint="66"/>
        </w:tblPrEx>
        <w:tc>
          <w:tcPr>
            <w:tcW w:w="1196" w:type="dxa"/>
            <w:shd w:val="clear" w:color="auto" w:fill="FFFFFF" w:themeFill="background1"/>
          </w:tcPr>
          <w:p w:rsidR="00472A27" w:rsidRPr="000A3F70" w:rsidRDefault="00472A27" w:rsidP="001C0F0B">
            <w:pPr>
              <w:rPr>
                <w:rFonts w:ascii="Calibri" w:eastAsia="Times New Roman" w:hAnsi="Calibri" w:cs="Times New Roman"/>
                <w:sz w:val="20"/>
                <w:szCs w:val="20"/>
              </w:rPr>
            </w:pPr>
          </w:p>
        </w:tc>
        <w:tc>
          <w:tcPr>
            <w:tcW w:w="3409" w:type="dxa"/>
            <w:shd w:val="clear" w:color="auto" w:fill="auto"/>
          </w:tcPr>
          <w:p w:rsidR="00472A27" w:rsidRPr="000A3F70" w:rsidRDefault="00472A27" w:rsidP="001C0F0B">
            <w:pPr>
              <w:rPr>
                <w:rFonts w:ascii="Calibri" w:eastAsia="Times New Roman" w:hAnsi="Calibri" w:cs="Times New Roman"/>
              </w:rPr>
            </w:pPr>
          </w:p>
        </w:tc>
        <w:tc>
          <w:tcPr>
            <w:tcW w:w="4416" w:type="dxa"/>
            <w:shd w:val="clear" w:color="auto" w:fill="DEEAF6" w:themeFill="accent1" w:themeFillTint="33"/>
          </w:tcPr>
          <w:p w:rsidR="00472A27" w:rsidRPr="000A3F70" w:rsidRDefault="00472A27" w:rsidP="00C90305">
            <w:pPr>
              <w:numPr>
                <w:ilvl w:val="0"/>
                <w:numId w:val="6"/>
              </w:numPr>
              <w:contextualSpacing/>
              <w:rPr>
                <w:rFonts w:ascii="Calibri" w:eastAsia="Times New Roman" w:hAnsi="Calibri" w:cs="Times New Roman"/>
                <w:sz w:val="20"/>
                <w:szCs w:val="20"/>
              </w:rPr>
            </w:pPr>
            <w:r w:rsidRPr="000A3F70">
              <w:rPr>
                <w:rFonts w:ascii="Calibri" w:eastAsia="Times New Roman" w:hAnsi="Calibri" w:cs="Times New Roman"/>
                <w:sz w:val="20"/>
                <w:szCs w:val="20"/>
              </w:rPr>
              <w:t xml:space="preserve">The programme specifies the learning (knowledge, skill and competence) that </w:t>
            </w:r>
            <w:r w:rsidRPr="000A3F70">
              <w:rPr>
                <w:rFonts w:ascii="Calibri" w:eastAsia="Times New Roman" w:hAnsi="Calibri" w:cs="Times New Roman"/>
                <w:b/>
                <w:sz w:val="20"/>
                <w:szCs w:val="20"/>
              </w:rPr>
              <w:t>target learners</w:t>
            </w:r>
            <w:r w:rsidRPr="000A3F70">
              <w:rPr>
                <w:rFonts w:ascii="Calibri" w:eastAsia="Times New Roman" w:hAnsi="Calibri" w:cs="Times New Roman"/>
                <w:sz w:val="20"/>
                <w:szCs w:val="20"/>
              </w:rPr>
              <w:t xml:space="preserve"> are expected to have achieved before they are enrolled in the programme and any other assumptions about enrolled learners (programme participants).</w:t>
            </w:r>
          </w:p>
        </w:tc>
      </w:tr>
      <w:tr w:rsidR="00472A27" w:rsidRPr="000A3F70" w:rsidTr="001C0F0B">
        <w:tblPrEx>
          <w:shd w:val="clear" w:color="auto" w:fill="BDD6EE" w:themeFill="accent1" w:themeFillTint="66"/>
        </w:tblPrEx>
        <w:tc>
          <w:tcPr>
            <w:tcW w:w="1196" w:type="dxa"/>
            <w:shd w:val="clear" w:color="auto" w:fill="FFFFFF" w:themeFill="background1"/>
          </w:tcPr>
          <w:p w:rsidR="00472A27" w:rsidRPr="000A3F70" w:rsidRDefault="00472A27" w:rsidP="001C0F0B">
            <w:pPr>
              <w:rPr>
                <w:rFonts w:ascii="Calibri" w:eastAsia="Times New Roman" w:hAnsi="Calibri" w:cs="Times New Roman"/>
                <w:sz w:val="20"/>
                <w:szCs w:val="20"/>
              </w:rPr>
            </w:pPr>
          </w:p>
        </w:tc>
        <w:tc>
          <w:tcPr>
            <w:tcW w:w="3409" w:type="dxa"/>
            <w:shd w:val="clear" w:color="auto" w:fill="auto"/>
          </w:tcPr>
          <w:p w:rsidR="00472A27" w:rsidRPr="000A3F70" w:rsidRDefault="00472A27" w:rsidP="001C0F0B">
            <w:pPr>
              <w:rPr>
                <w:rFonts w:ascii="Calibri" w:eastAsia="Times New Roman" w:hAnsi="Calibri" w:cs="Times New Roman"/>
              </w:rPr>
            </w:pPr>
          </w:p>
        </w:tc>
        <w:tc>
          <w:tcPr>
            <w:tcW w:w="4416" w:type="dxa"/>
            <w:shd w:val="clear" w:color="auto" w:fill="DEEAF6" w:themeFill="accent1" w:themeFillTint="33"/>
          </w:tcPr>
          <w:p w:rsidR="00472A27" w:rsidRPr="000A3F70" w:rsidRDefault="00472A27" w:rsidP="00C90305">
            <w:pPr>
              <w:numPr>
                <w:ilvl w:val="0"/>
                <w:numId w:val="6"/>
              </w:numPr>
              <w:contextualSpacing/>
              <w:rPr>
                <w:rFonts w:ascii="Calibri" w:eastAsia="Times New Roman" w:hAnsi="Calibri" w:cs="Times New Roman"/>
                <w:sz w:val="20"/>
                <w:szCs w:val="20"/>
              </w:rPr>
            </w:pPr>
            <w:r w:rsidRPr="000A3F70">
              <w:rPr>
                <w:rFonts w:ascii="Calibri" w:eastAsia="Times New Roman" w:hAnsi="Calibri" w:cs="Times New Roman"/>
                <w:sz w:val="20"/>
                <w:szCs w:val="20"/>
              </w:rPr>
              <w:t xml:space="preserve">The programme includes suitable procedures and criteria for the </w:t>
            </w:r>
            <w:r w:rsidRPr="000A3F70">
              <w:rPr>
                <w:rFonts w:ascii="Calibri" w:eastAsia="Times New Roman" w:hAnsi="Calibri" w:cs="Times New Roman"/>
                <w:b/>
                <w:sz w:val="20"/>
                <w:szCs w:val="20"/>
              </w:rPr>
              <w:t>recognition of prior learning</w:t>
            </w:r>
            <w:r w:rsidRPr="000A3F70">
              <w:rPr>
                <w:rFonts w:ascii="Calibri" w:eastAsia="Times New Roman" w:hAnsi="Calibri" w:cs="Times New Roman"/>
                <w:sz w:val="20"/>
                <w:szCs w:val="20"/>
              </w:rPr>
              <w:t xml:space="preserve"> for the purposes of access and, where appropriate, for advanced entry to the programme and for exemptions.</w:t>
            </w:r>
          </w:p>
        </w:tc>
      </w:tr>
      <w:tr w:rsidR="00472A27" w:rsidRPr="000A3F70" w:rsidTr="001C0F0B">
        <w:tblPrEx>
          <w:shd w:val="clear" w:color="auto" w:fill="BDD6EE" w:themeFill="accent1" w:themeFillTint="66"/>
        </w:tblPrEx>
        <w:tc>
          <w:tcPr>
            <w:tcW w:w="1196" w:type="dxa"/>
            <w:shd w:val="clear" w:color="auto" w:fill="FFFFFF" w:themeFill="background1"/>
          </w:tcPr>
          <w:p w:rsidR="00472A27" w:rsidRPr="000A3F70" w:rsidRDefault="00472A27" w:rsidP="001C0F0B">
            <w:pPr>
              <w:rPr>
                <w:rFonts w:ascii="Calibri" w:eastAsia="Times New Roman" w:hAnsi="Calibri" w:cs="Times New Roman"/>
                <w:sz w:val="20"/>
                <w:szCs w:val="20"/>
                <w:lang w:eastAsia="en-IE"/>
              </w:rPr>
            </w:pPr>
          </w:p>
        </w:tc>
        <w:tc>
          <w:tcPr>
            <w:tcW w:w="3409" w:type="dxa"/>
            <w:shd w:val="clear" w:color="auto" w:fill="auto"/>
          </w:tcPr>
          <w:p w:rsidR="00472A27" w:rsidRPr="000A3F70" w:rsidRDefault="00472A27" w:rsidP="001C0F0B">
            <w:pPr>
              <w:rPr>
                <w:rFonts w:ascii="Calibri" w:eastAsia="Times New Roman" w:hAnsi="Calibri" w:cs="Times New Roman"/>
                <w:lang w:eastAsia="en-IE"/>
              </w:rPr>
            </w:pPr>
          </w:p>
        </w:tc>
        <w:tc>
          <w:tcPr>
            <w:tcW w:w="4416" w:type="dxa"/>
            <w:shd w:val="clear" w:color="auto" w:fill="DEEAF6" w:themeFill="accent1" w:themeFillTint="33"/>
          </w:tcPr>
          <w:p w:rsidR="00472A27" w:rsidRPr="000A3F70" w:rsidRDefault="00472A27" w:rsidP="00C90305">
            <w:pPr>
              <w:numPr>
                <w:ilvl w:val="0"/>
                <w:numId w:val="6"/>
              </w:numPr>
              <w:spacing w:line="256" w:lineRule="auto"/>
              <w:contextualSpacing/>
              <w:rPr>
                <w:rFonts w:ascii="Calibri" w:eastAsia="Times New Roman" w:hAnsi="Calibri" w:cs="Times New Roman"/>
                <w:sz w:val="20"/>
                <w:szCs w:val="20"/>
                <w:lang w:eastAsia="en-IE"/>
              </w:rPr>
            </w:pPr>
            <w:r w:rsidRPr="000A3F70">
              <w:rPr>
                <w:rFonts w:ascii="Calibri" w:eastAsia="Times New Roman" w:hAnsi="Calibri" w:cs="Times New Roman"/>
                <w:sz w:val="20"/>
                <w:szCs w:val="20"/>
                <w:lang w:eastAsia="en-IE"/>
              </w:rPr>
              <w:t>The programme title (the title used to refer to the programme):-</w:t>
            </w:r>
          </w:p>
        </w:tc>
      </w:tr>
      <w:tr w:rsidR="00472A27" w:rsidRPr="000A3F70" w:rsidTr="001C0F0B">
        <w:tblPrEx>
          <w:shd w:val="clear" w:color="auto" w:fill="BDD6EE" w:themeFill="accent1" w:themeFillTint="66"/>
        </w:tblPrEx>
        <w:tc>
          <w:tcPr>
            <w:tcW w:w="1196" w:type="dxa"/>
            <w:shd w:val="clear" w:color="auto" w:fill="FFFFFF" w:themeFill="background1"/>
          </w:tcPr>
          <w:p w:rsidR="00472A27" w:rsidRPr="000A3F70" w:rsidRDefault="00472A27" w:rsidP="001C0F0B">
            <w:pPr>
              <w:rPr>
                <w:rFonts w:ascii="Calibri" w:eastAsia="Times New Roman" w:hAnsi="Calibri" w:cs="Times New Roman"/>
                <w:sz w:val="20"/>
                <w:szCs w:val="20"/>
                <w:lang w:eastAsia="en-IE"/>
              </w:rPr>
            </w:pPr>
          </w:p>
        </w:tc>
        <w:tc>
          <w:tcPr>
            <w:tcW w:w="3409" w:type="dxa"/>
            <w:shd w:val="clear" w:color="auto" w:fill="auto"/>
          </w:tcPr>
          <w:p w:rsidR="00472A27" w:rsidRPr="000A3F70" w:rsidRDefault="00472A27" w:rsidP="001C0F0B">
            <w:pPr>
              <w:rPr>
                <w:rFonts w:ascii="Calibri" w:eastAsia="Times New Roman" w:hAnsi="Calibri" w:cs="Times New Roman"/>
                <w:lang w:eastAsia="en-IE"/>
              </w:rPr>
            </w:pPr>
          </w:p>
        </w:tc>
        <w:tc>
          <w:tcPr>
            <w:tcW w:w="4416" w:type="dxa"/>
            <w:shd w:val="clear" w:color="auto" w:fill="DEEAF6" w:themeFill="accent1" w:themeFillTint="33"/>
          </w:tcPr>
          <w:p w:rsidR="00472A27" w:rsidRPr="000A3F70" w:rsidRDefault="00472A27" w:rsidP="00C90305">
            <w:pPr>
              <w:numPr>
                <w:ilvl w:val="1"/>
                <w:numId w:val="18"/>
              </w:numPr>
              <w:spacing w:line="256" w:lineRule="auto"/>
              <w:contextualSpacing/>
              <w:rPr>
                <w:rFonts w:ascii="Calibri" w:eastAsia="Times New Roman" w:hAnsi="Calibri" w:cs="Times New Roman"/>
                <w:sz w:val="20"/>
                <w:szCs w:val="20"/>
                <w:lang w:eastAsia="en-IE"/>
              </w:rPr>
            </w:pPr>
            <w:r w:rsidRPr="000A3F70">
              <w:rPr>
                <w:rFonts w:ascii="Calibri" w:eastAsia="Times New Roman" w:hAnsi="Calibri" w:cs="Times New Roman"/>
                <w:sz w:val="20"/>
                <w:szCs w:val="20"/>
                <w:lang w:eastAsia="en-IE"/>
              </w:rPr>
              <w:t xml:space="preserve">Reflects the core </w:t>
            </w:r>
            <w:r w:rsidRPr="000A3F70">
              <w:rPr>
                <w:rFonts w:ascii="Calibri" w:eastAsia="Times New Roman" w:hAnsi="Calibri" w:cs="Times New Roman"/>
                <w:i/>
                <w:sz w:val="20"/>
                <w:szCs w:val="20"/>
                <w:lang w:eastAsia="en-IE"/>
              </w:rPr>
              <w:t>intended programme learning outcomes</w:t>
            </w:r>
            <w:r w:rsidRPr="000A3F70">
              <w:rPr>
                <w:rFonts w:ascii="Calibri" w:eastAsia="Times New Roman" w:hAnsi="Calibri" w:cs="Times New Roman"/>
                <w:sz w:val="20"/>
                <w:szCs w:val="20"/>
                <w:lang w:eastAsia="en-IE"/>
              </w:rPr>
              <w:t>, and is consistent with the standards and purposes of the QQI awards to which it leads, the award title(s) and their class(es).</w:t>
            </w:r>
          </w:p>
        </w:tc>
      </w:tr>
      <w:tr w:rsidR="00472A27" w:rsidRPr="000A3F70" w:rsidTr="001C0F0B">
        <w:tblPrEx>
          <w:shd w:val="clear" w:color="auto" w:fill="BDD6EE" w:themeFill="accent1" w:themeFillTint="66"/>
        </w:tblPrEx>
        <w:tc>
          <w:tcPr>
            <w:tcW w:w="1196" w:type="dxa"/>
            <w:shd w:val="clear" w:color="auto" w:fill="FFFFFF" w:themeFill="background1"/>
          </w:tcPr>
          <w:p w:rsidR="00472A27" w:rsidRPr="000A3F70" w:rsidRDefault="00472A27" w:rsidP="001C0F0B">
            <w:pPr>
              <w:rPr>
                <w:rFonts w:ascii="Calibri" w:eastAsia="Times New Roman" w:hAnsi="Calibri" w:cs="Times New Roman"/>
                <w:sz w:val="20"/>
                <w:szCs w:val="20"/>
                <w:lang w:eastAsia="en-IE"/>
              </w:rPr>
            </w:pPr>
          </w:p>
        </w:tc>
        <w:tc>
          <w:tcPr>
            <w:tcW w:w="3409" w:type="dxa"/>
            <w:shd w:val="clear" w:color="auto" w:fill="auto"/>
          </w:tcPr>
          <w:p w:rsidR="00472A27" w:rsidRPr="000A3F70" w:rsidRDefault="00472A27" w:rsidP="001C0F0B">
            <w:pPr>
              <w:rPr>
                <w:rFonts w:ascii="Calibri" w:eastAsia="Times New Roman" w:hAnsi="Calibri" w:cs="Times New Roman"/>
                <w:lang w:eastAsia="en-IE"/>
              </w:rPr>
            </w:pPr>
          </w:p>
        </w:tc>
        <w:tc>
          <w:tcPr>
            <w:tcW w:w="4416" w:type="dxa"/>
            <w:shd w:val="clear" w:color="auto" w:fill="DEEAF6" w:themeFill="accent1" w:themeFillTint="33"/>
          </w:tcPr>
          <w:p w:rsidR="00472A27" w:rsidRPr="000A3F70" w:rsidRDefault="00472A27" w:rsidP="00C90305">
            <w:pPr>
              <w:numPr>
                <w:ilvl w:val="1"/>
                <w:numId w:val="18"/>
              </w:numPr>
              <w:spacing w:line="256" w:lineRule="auto"/>
              <w:contextualSpacing/>
              <w:rPr>
                <w:rFonts w:ascii="Calibri" w:eastAsia="Times New Roman" w:hAnsi="Calibri" w:cs="Times New Roman"/>
                <w:sz w:val="20"/>
                <w:szCs w:val="20"/>
                <w:lang w:eastAsia="en-IE"/>
              </w:rPr>
            </w:pPr>
            <w:r w:rsidRPr="000A3F70">
              <w:rPr>
                <w:rFonts w:ascii="Calibri" w:eastAsia="Times New Roman" w:hAnsi="Calibri" w:cs="Times New Roman"/>
                <w:sz w:val="20"/>
                <w:szCs w:val="20"/>
                <w:lang w:eastAsia="en-IE"/>
              </w:rPr>
              <w:t>Is learner focused and meaningful to the learners;</w:t>
            </w:r>
          </w:p>
        </w:tc>
      </w:tr>
      <w:tr w:rsidR="00472A27" w:rsidRPr="000A3F70" w:rsidTr="001C0F0B">
        <w:tblPrEx>
          <w:shd w:val="clear" w:color="auto" w:fill="BDD6EE" w:themeFill="accent1" w:themeFillTint="66"/>
        </w:tblPrEx>
        <w:tc>
          <w:tcPr>
            <w:tcW w:w="1196" w:type="dxa"/>
            <w:shd w:val="clear" w:color="auto" w:fill="FFFFFF" w:themeFill="background1"/>
          </w:tcPr>
          <w:p w:rsidR="00472A27" w:rsidRPr="000A3F70" w:rsidRDefault="00472A27" w:rsidP="001C0F0B">
            <w:pPr>
              <w:rPr>
                <w:rFonts w:ascii="Calibri" w:eastAsia="Times New Roman" w:hAnsi="Calibri" w:cs="Times New Roman"/>
                <w:sz w:val="20"/>
                <w:szCs w:val="20"/>
                <w:lang w:eastAsia="en-IE"/>
              </w:rPr>
            </w:pPr>
          </w:p>
        </w:tc>
        <w:tc>
          <w:tcPr>
            <w:tcW w:w="3409" w:type="dxa"/>
            <w:shd w:val="clear" w:color="auto" w:fill="auto"/>
          </w:tcPr>
          <w:p w:rsidR="00472A27" w:rsidRPr="000A3F70" w:rsidRDefault="00472A27" w:rsidP="001C0F0B">
            <w:pPr>
              <w:rPr>
                <w:rFonts w:ascii="Calibri" w:eastAsia="Times New Roman" w:hAnsi="Calibri" w:cs="Times New Roman"/>
                <w:lang w:eastAsia="en-IE"/>
              </w:rPr>
            </w:pPr>
          </w:p>
        </w:tc>
        <w:tc>
          <w:tcPr>
            <w:tcW w:w="4416" w:type="dxa"/>
            <w:shd w:val="clear" w:color="auto" w:fill="DEEAF6" w:themeFill="accent1" w:themeFillTint="33"/>
          </w:tcPr>
          <w:p w:rsidR="00472A27" w:rsidRPr="000A3F70" w:rsidRDefault="00472A27" w:rsidP="00C90305">
            <w:pPr>
              <w:numPr>
                <w:ilvl w:val="1"/>
                <w:numId w:val="18"/>
              </w:numPr>
              <w:spacing w:line="256" w:lineRule="auto"/>
              <w:contextualSpacing/>
              <w:rPr>
                <w:rFonts w:ascii="Calibri" w:eastAsia="Times New Roman" w:hAnsi="Calibri" w:cs="Times New Roman"/>
                <w:sz w:val="20"/>
                <w:szCs w:val="20"/>
                <w:lang w:eastAsia="en-IE"/>
              </w:rPr>
            </w:pPr>
            <w:r w:rsidRPr="000A3F70">
              <w:rPr>
                <w:rFonts w:ascii="Calibri" w:eastAsia="Times New Roman" w:hAnsi="Calibri" w:cs="Times New Roman"/>
                <w:sz w:val="20"/>
                <w:szCs w:val="20"/>
                <w:lang w:eastAsia="en-IE"/>
              </w:rPr>
              <w:t xml:space="preserve">Has long-lasting significance. </w:t>
            </w:r>
          </w:p>
        </w:tc>
      </w:tr>
      <w:tr w:rsidR="00472A27" w:rsidRPr="000A3F70" w:rsidTr="001C0F0B">
        <w:tblPrEx>
          <w:shd w:val="clear" w:color="auto" w:fill="BDD6EE" w:themeFill="accent1" w:themeFillTint="66"/>
        </w:tblPrEx>
        <w:tc>
          <w:tcPr>
            <w:tcW w:w="1196" w:type="dxa"/>
            <w:shd w:val="clear" w:color="auto" w:fill="FFFFFF" w:themeFill="background1"/>
          </w:tcPr>
          <w:p w:rsidR="00472A27" w:rsidRPr="000A3F70" w:rsidRDefault="00472A27" w:rsidP="001C0F0B">
            <w:pPr>
              <w:rPr>
                <w:rFonts w:ascii="Calibri" w:eastAsia="Times New Roman" w:hAnsi="Calibri" w:cs="Times New Roman"/>
                <w:sz w:val="20"/>
                <w:szCs w:val="20"/>
                <w:lang w:eastAsia="en-IE"/>
              </w:rPr>
            </w:pPr>
          </w:p>
        </w:tc>
        <w:tc>
          <w:tcPr>
            <w:tcW w:w="3409" w:type="dxa"/>
            <w:shd w:val="clear" w:color="auto" w:fill="auto"/>
          </w:tcPr>
          <w:p w:rsidR="00472A27" w:rsidRPr="000A3F70" w:rsidRDefault="00472A27" w:rsidP="001C0F0B">
            <w:pPr>
              <w:rPr>
                <w:rFonts w:ascii="Calibri" w:eastAsia="Times New Roman" w:hAnsi="Calibri" w:cs="Times New Roman"/>
                <w:lang w:eastAsia="en-IE"/>
              </w:rPr>
            </w:pPr>
          </w:p>
        </w:tc>
        <w:tc>
          <w:tcPr>
            <w:tcW w:w="4416" w:type="dxa"/>
            <w:shd w:val="clear" w:color="auto" w:fill="DEEAF6" w:themeFill="accent1" w:themeFillTint="33"/>
          </w:tcPr>
          <w:p w:rsidR="00472A27" w:rsidRPr="000A3F70" w:rsidRDefault="00472A27" w:rsidP="00C90305">
            <w:pPr>
              <w:numPr>
                <w:ilvl w:val="0"/>
                <w:numId w:val="6"/>
              </w:numPr>
              <w:spacing w:line="256" w:lineRule="auto"/>
              <w:contextualSpacing/>
              <w:rPr>
                <w:rFonts w:ascii="Calibri" w:eastAsia="Times New Roman" w:hAnsi="Calibri" w:cs="Times New Roman"/>
                <w:sz w:val="20"/>
                <w:szCs w:val="20"/>
                <w:lang w:eastAsia="en-IE"/>
              </w:rPr>
            </w:pPr>
            <w:r w:rsidRPr="000A3F70">
              <w:rPr>
                <w:rFonts w:ascii="Calibri" w:eastAsia="Times New Roman" w:hAnsi="Calibri" w:cs="Times New Roman"/>
                <w:sz w:val="20"/>
                <w:szCs w:val="20"/>
                <w:lang w:eastAsia="en-IE"/>
              </w:rPr>
              <w:t>The programme title is otherwise legitimate; for example, it must comply with applicable statutory, regulatory and professional body requirements.</w:t>
            </w:r>
          </w:p>
        </w:tc>
      </w:tr>
    </w:tbl>
    <w:p w:rsidR="00013831" w:rsidRPr="000A3F70" w:rsidRDefault="00013831" w:rsidP="00013831">
      <w:pPr>
        <w:pStyle w:val="Heading2"/>
        <w:numPr>
          <w:ilvl w:val="0"/>
          <w:numId w:val="0"/>
        </w:numPr>
        <w:rPr>
          <w:color w:val="auto"/>
        </w:rPr>
      </w:pPr>
      <w:bookmarkStart w:id="56" w:name="_Toc479176624"/>
      <w:bookmarkStart w:id="57" w:name="_Toc479176711"/>
    </w:p>
    <w:bookmarkEnd w:id="56"/>
    <w:bookmarkEnd w:id="57"/>
    <w:p w:rsidR="00CD6BB1" w:rsidRPr="003E271E" w:rsidRDefault="00324690" w:rsidP="00DA6AE3">
      <w:r w:rsidRPr="000A3F70">
        <w:t>The panel was satisfied that the programmes' access, transfer and progression arrangements</w:t>
      </w:r>
      <w:r w:rsidR="00DA6AE3" w:rsidRPr="000A3F70">
        <w:t xml:space="preserve"> are clearly articu</w:t>
      </w:r>
      <w:r w:rsidR="00CD6BB1">
        <w:t xml:space="preserve">lated </w:t>
      </w:r>
      <w:r w:rsidR="00CD6BB1" w:rsidRPr="003E271E">
        <w:t>and working in practice.</w:t>
      </w:r>
      <w:r w:rsidR="00DA6AE3" w:rsidRPr="003E271E">
        <w:t xml:space="preserve"> </w:t>
      </w:r>
      <w:r w:rsidR="00CD6BB1" w:rsidRPr="003E271E">
        <w:t>Information on access, transfer and progression is available through DBS website, promotional material and the Student Handbooks. This includes information on EU and non-EU entry requirements and information for students with disabilities.</w:t>
      </w:r>
    </w:p>
    <w:p w:rsidR="00472A27" w:rsidRPr="003E271E" w:rsidRDefault="00CD6BB1" w:rsidP="00472A27">
      <w:r w:rsidRPr="003E271E">
        <w:t xml:space="preserve">The panel noted </w:t>
      </w:r>
      <w:r w:rsidR="00482960" w:rsidRPr="003E271E">
        <w:t xml:space="preserve">and supported </w:t>
      </w:r>
      <w:r w:rsidRPr="003E271E">
        <w:t>the proposed change to the entry requirements to the MA in Psychoanalytic Psychotherapy to no longer require entrants to have a background of formal study in psychoanalysis</w:t>
      </w:r>
      <w:r w:rsidR="00482960" w:rsidRPr="003E271E">
        <w:t xml:space="preserve">. </w:t>
      </w:r>
      <w:r w:rsidRPr="003E271E">
        <w:t xml:space="preserve"> It was concluded that the potential risks associated with the change were being well managed.</w:t>
      </w:r>
    </w:p>
    <w:p w:rsidR="00DA6AE3" w:rsidRPr="000A3F70" w:rsidRDefault="00CD6BB1" w:rsidP="00472A27">
      <w:r w:rsidRPr="003E271E">
        <w:t>Discussions with students and graduates confirmed that g</w:t>
      </w:r>
      <w:r w:rsidR="00DA6AE3" w:rsidRPr="003E271E">
        <w:t>raduates</w:t>
      </w:r>
      <w:r w:rsidR="00DA6AE3" w:rsidRPr="000A3F70">
        <w:t xml:space="preserve"> from the programmes have obtained employment in the health and social </w:t>
      </w:r>
      <w:r w:rsidR="00DA6AE3" w:rsidRPr="009C7C20">
        <w:t>care area</w:t>
      </w:r>
      <w:r w:rsidR="00482960" w:rsidRPr="009C7C20">
        <w:t>s</w:t>
      </w:r>
      <w:r w:rsidR="00DA6AE3" w:rsidRPr="009C7C20">
        <w:t xml:space="preserve">, </w:t>
      </w:r>
      <w:r w:rsidR="00DA6AE3" w:rsidRPr="000A3F70">
        <w:t>in the prison and probation services and organisations providing services in the area of addict</w:t>
      </w:r>
      <w:r w:rsidR="00013831" w:rsidRPr="000A3F70">
        <w:t>ion.</w:t>
      </w:r>
      <w:r w:rsidR="00DA6AE3" w:rsidRPr="000A3F70">
        <w:t xml:space="preserve"> A number of graduates of the MA in Psychoanalytic Psychotherapy have gone into clinical practice in the field.  </w:t>
      </w:r>
    </w:p>
    <w:p w:rsidR="00417A4C" w:rsidRPr="00CD6BB1" w:rsidRDefault="00CD6BB1" w:rsidP="00472A27">
      <w:pPr>
        <w:rPr>
          <w:color w:val="C00000"/>
        </w:rPr>
      </w:pPr>
      <w:r w:rsidRPr="003E271E">
        <w:t>It was further noted that s</w:t>
      </w:r>
      <w:r w:rsidR="00417A4C" w:rsidRPr="003E271E">
        <w:t>everal current student</w:t>
      </w:r>
      <w:r w:rsidRPr="003E271E">
        <w:t>s on the programmes</w:t>
      </w:r>
      <w:r w:rsidR="00417A4C" w:rsidRPr="003E271E">
        <w:t xml:space="preserve"> had progressed from </w:t>
      </w:r>
      <w:r w:rsidR="00CB25FE" w:rsidRPr="003E271E">
        <w:t>other DBS programmes in the area of psychology</w:t>
      </w:r>
      <w:r w:rsidR="00CB25FE" w:rsidRPr="00CD6BB1">
        <w:rPr>
          <w:color w:val="C00000"/>
        </w:rPr>
        <w:t>.</w:t>
      </w:r>
    </w:p>
    <w:p w:rsidR="003E271E" w:rsidRPr="000A3F70" w:rsidRDefault="003E271E" w:rsidP="00472A27"/>
    <w:p w:rsidR="00472A27" w:rsidRPr="000A3F70" w:rsidRDefault="005C0200" w:rsidP="005C0200">
      <w:pPr>
        <w:pStyle w:val="Heading2"/>
        <w:rPr>
          <w:rFonts w:eastAsiaTheme="minorHAnsi"/>
          <w:color w:val="auto"/>
          <w:sz w:val="32"/>
          <w:szCs w:val="32"/>
          <w:lang w:val="en-GB"/>
        </w:rPr>
      </w:pPr>
      <w:bookmarkStart w:id="58" w:name="_Toc431134556"/>
      <w:bookmarkStart w:id="59" w:name="_Toc479176627"/>
      <w:bookmarkStart w:id="60" w:name="_Toc479176714"/>
      <w:bookmarkStart w:id="61" w:name="_Toc513221607"/>
      <w:r w:rsidRPr="000A3F70">
        <w:rPr>
          <w:rFonts w:eastAsia="Times New Roman"/>
          <w:color w:val="auto"/>
          <w:lang w:val="en-GB"/>
        </w:rPr>
        <w:t xml:space="preserve">Criterion 5: </w:t>
      </w:r>
      <w:r w:rsidR="00472A27" w:rsidRPr="000A3F70">
        <w:rPr>
          <w:rFonts w:eastAsia="Times New Roman"/>
          <w:color w:val="auto"/>
          <w:lang w:val="en-GB"/>
        </w:rPr>
        <w:t>The programme’s written curriculum</w:t>
      </w:r>
      <w:bookmarkEnd w:id="58"/>
      <w:r w:rsidR="00472A27" w:rsidRPr="000A3F70">
        <w:rPr>
          <w:rFonts w:eastAsia="Times New Roman"/>
          <w:color w:val="auto"/>
          <w:lang w:val="en-GB"/>
        </w:rPr>
        <w:t xml:space="preserve"> is well structured and fit-for-purpose</w:t>
      </w:r>
      <w:bookmarkEnd w:id="59"/>
      <w:bookmarkEnd w:id="60"/>
      <w:bookmarkEnd w:id="61"/>
    </w:p>
    <w:tbl>
      <w:tblPr>
        <w:tblStyle w:val="TableGrid"/>
        <w:tblW w:w="0" w:type="auto"/>
        <w:tblLook w:val="04A0" w:firstRow="1" w:lastRow="0" w:firstColumn="1" w:lastColumn="0" w:noHBand="0" w:noVBand="1"/>
      </w:tblPr>
      <w:tblGrid>
        <w:gridCol w:w="1271"/>
        <w:gridCol w:w="3402"/>
        <w:gridCol w:w="4343"/>
      </w:tblGrid>
      <w:tr w:rsidR="00472A27" w:rsidRPr="000A3F70" w:rsidTr="001C0F0B">
        <w:tc>
          <w:tcPr>
            <w:tcW w:w="1271" w:type="dxa"/>
            <w:shd w:val="clear" w:color="auto" w:fill="DEEAF6" w:themeFill="accent1" w:themeFillTint="33"/>
          </w:tcPr>
          <w:p w:rsidR="00472A27" w:rsidRPr="000A3F70" w:rsidRDefault="00E826FC" w:rsidP="001C0F0B">
            <w:pPr>
              <w:contextualSpacing/>
              <w:rPr>
                <w:rFonts w:ascii="Calibri" w:eastAsia="Times New Roman" w:hAnsi="Calibri" w:cs="Times New Roman"/>
                <w:b/>
                <w:sz w:val="20"/>
                <w:szCs w:val="20"/>
                <w:lang w:val="en-GB"/>
              </w:rPr>
            </w:pPr>
            <w:r>
              <w:rPr>
                <w:rFonts w:ascii="Calibri" w:eastAsia="Times New Roman" w:hAnsi="Calibri" w:cs="Times New Roman"/>
                <w:b/>
                <w:sz w:val="20"/>
                <w:szCs w:val="20"/>
                <w:lang w:val="en-GB"/>
              </w:rPr>
              <w:t xml:space="preserve">Satisfactory </w:t>
            </w:r>
            <w:r w:rsidRPr="003E271E">
              <w:rPr>
                <w:rFonts w:ascii="Calibri" w:eastAsia="Times New Roman" w:hAnsi="Calibri" w:cs="Times New Roman"/>
                <w:b/>
                <w:sz w:val="20"/>
                <w:szCs w:val="20"/>
                <w:lang w:val="en-GB"/>
              </w:rPr>
              <w:t>Y</w:t>
            </w:r>
            <w:r w:rsidR="00472A27" w:rsidRPr="003E271E">
              <w:rPr>
                <w:rFonts w:ascii="Calibri" w:eastAsia="Times New Roman" w:hAnsi="Calibri" w:cs="Times New Roman"/>
                <w:b/>
                <w:sz w:val="20"/>
                <w:szCs w:val="20"/>
                <w:lang w:val="en-GB"/>
              </w:rPr>
              <w:t>es</w:t>
            </w:r>
          </w:p>
        </w:tc>
        <w:tc>
          <w:tcPr>
            <w:tcW w:w="3402"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343"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Sub-criteria</w:t>
            </w:r>
          </w:p>
        </w:tc>
      </w:tr>
      <w:tr w:rsidR="00472A27" w:rsidRPr="000A3F70" w:rsidTr="001C0F0B">
        <w:tc>
          <w:tcPr>
            <w:tcW w:w="1271" w:type="dxa"/>
          </w:tcPr>
          <w:p w:rsidR="00472A27" w:rsidRPr="000A3F70" w:rsidRDefault="00472A27" w:rsidP="001C0F0B">
            <w:pPr>
              <w:rPr>
                <w:rFonts w:ascii="Calibri" w:eastAsia="Times New Roman" w:hAnsi="Calibri" w:cs="Times New Roman"/>
                <w:sz w:val="20"/>
                <w:szCs w:val="20"/>
                <w:lang w:val="en-GB"/>
              </w:rPr>
            </w:pPr>
          </w:p>
        </w:tc>
        <w:tc>
          <w:tcPr>
            <w:tcW w:w="3402" w:type="dxa"/>
            <w:shd w:val="clear" w:color="auto" w:fill="auto"/>
          </w:tcPr>
          <w:p w:rsidR="00472A27" w:rsidRPr="000A3F70" w:rsidRDefault="00472A27" w:rsidP="001C0F0B">
            <w:pPr>
              <w:rPr>
                <w:rFonts w:ascii="Calibri" w:eastAsia="Times New Roman" w:hAnsi="Calibri" w:cs="Times New Roman"/>
                <w:lang w:val="en-GB"/>
              </w:rPr>
            </w:pPr>
          </w:p>
        </w:tc>
        <w:tc>
          <w:tcPr>
            <w:tcW w:w="4343" w:type="dxa"/>
            <w:shd w:val="clear" w:color="auto" w:fill="DEEAF6" w:themeFill="accent1" w:themeFillTint="33"/>
          </w:tcPr>
          <w:p w:rsidR="00472A27" w:rsidRPr="000A3F70" w:rsidRDefault="00472A27" w:rsidP="00C90305">
            <w:pPr>
              <w:numPr>
                <w:ilvl w:val="0"/>
                <w:numId w:val="7"/>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programme is suitably structured and coherently oriented towards the achievement by learners of its intended programme learning outcomes. The programme (including any stages and modules) is integrated in all its dimensions.</w:t>
            </w:r>
          </w:p>
        </w:tc>
      </w:tr>
      <w:tr w:rsidR="00472A27" w:rsidRPr="000A3F70" w:rsidTr="001C0F0B">
        <w:tc>
          <w:tcPr>
            <w:tcW w:w="1271" w:type="dxa"/>
          </w:tcPr>
          <w:p w:rsidR="00472A27" w:rsidRPr="000A3F70" w:rsidRDefault="00472A27" w:rsidP="001C0F0B">
            <w:pPr>
              <w:rPr>
                <w:rFonts w:ascii="Calibri" w:eastAsia="Times New Roman" w:hAnsi="Calibri" w:cs="Times New Roman"/>
                <w:sz w:val="20"/>
                <w:szCs w:val="20"/>
                <w:lang w:val="en-GB"/>
              </w:rPr>
            </w:pPr>
          </w:p>
        </w:tc>
        <w:tc>
          <w:tcPr>
            <w:tcW w:w="3402" w:type="dxa"/>
            <w:shd w:val="clear" w:color="auto" w:fill="auto"/>
          </w:tcPr>
          <w:p w:rsidR="00472A27" w:rsidRPr="000A3F70" w:rsidRDefault="00472A27" w:rsidP="001C0F0B">
            <w:pPr>
              <w:rPr>
                <w:rFonts w:ascii="Calibri" w:eastAsia="Times New Roman" w:hAnsi="Calibri" w:cs="Times New Roman"/>
                <w:lang w:val="en-GB"/>
              </w:rPr>
            </w:pPr>
          </w:p>
        </w:tc>
        <w:tc>
          <w:tcPr>
            <w:tcW w:w="4343" w:type="dxa"/>
            <w:shd w:val="clear" w:color="auto" w:fill="DEEAF6" w:themeFill="accent1" w:themeFillTint="33"/>
          </w:tcPr>
          <w:p w:rsidR="00472A27" w:rsidRPr="000A3F70" w:rsidRDefault="00472A27" w:rsidP="00C90305">
            <w:pPr>
              <w:numPr>
                <w:ilvl w:val="0"/>
                <w:numId w:val="7"/>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In so far as it is feasible the programme provides choice to enrolled learners so that they may align their learning opportunities towards their individual educational and training needs.</w:t>
            </w:r>
          </w:p>
        </w:tc>
      </w:tr>
      <w:tr w:rsidR="00472A27" w:rsidRPr="000A3F70" w:rsidTr="001C0F0B">
        <w:tc>
          <w:tcPr>
            <w:tcW w:w="1271" w:type="dxa"/>
          </w:tcPr>
          <w:p w:rsidR="00472A27" w:rsidRPr="000A3F70" w:rsidRDefault="00472A27" w:rsidP="001C0F0B">
            <w:pPr>
              <w:rPr>
                <w:rFonts w:ascii="Calibri" w:eastAsia="Times New Roman" w:hAnsi="Calibri" w:cs="Times New Roman"/>
                <w:sz w:val="20"/>
                <w:szCs w:val="20"/>
                <w:lang w:val="en-GB"/>
              </w:rPr>
            </w:pPr>
          </w:p>
        </w:tc>
        <w:tc>
          <w:tcPr>
            <w:tcW w:w="3402" w:type="dxa"/>
            <w:shd w:val="clear" w:color="auto" w:fill="auto"/>
          </w:tcPr>
          <w:p w:rsidR="00472A27" w:rsidRPr="000A3F70" w:rsidRDefault="00472A27" w:rsidP="001C0F0B">
            <w:pPr>
              <w:rPr>
                <w:rFonts w:ascii="Calibri" w:eastAsia="Times New Roman" w:hAnsi="Calibri" w:cs="Times New Roman"/>
                <w:lang w:val="en-GB"/>
              </w:rPr>
            </w:pPr>
          </w:p>
        </w:tc>
        <w:tc>
          <w:tcPr>
            <w:tcW w:w="4343" w:type="dxa"/>
            <w:shd w:val="clear" w:color="auto" w:fill="DEEAF6" w:themeFill="accent1" w:themeFillTint="33"/>
          </w:tcPr>
          <w:p w:rsidR="00472A27" w:rsidRPr="000A3F70" w:rsidRDefault="00472A27" w:rsidP="00C90305">
            <w:pPr>
              <w:numPr>
                <w:ilvl w:val="0"/>
                <w:numId w:val="7"/>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Each module and stage is suitably structured and coherently oriented towards the achievement by learners of the intended </w:t>
            </w:r>
            <w:r w:rsidRPr="000A3F70">
              <w:rPr>
                <w:rFonts w:ascii="Calibri" w:eastAsia="Times New Roman" w:hAnsi="Calibri" w:cs="Times New Roman"/>
                <w:i/>
                <w:sz w:val="20"/>
                <w:szCs w:val="20"/>
                <w:lang w:val="en-GB"/>
              </w:rPr>
              <w:t>programme</w:t>
            </w:r>
            <w:r w:rsidRPr="000A3F70">
              <w:rPr>
                <w:rFonts w:ascii="Calibri" w:eastAsia="Times New Roman" w:hAnsi="Calibri" w:cs="Times New Roman"/>
                <w:sz w:val="20"/>
                <w:szCs w:val="20"/>
                <w:lang w:val="en-GB"/>
              </w:rPr>
              <w:t xml:space="preserve"> learning outcomes.</w:t>
            </w:r>
          </w:p>
        </w:tc>
      </w:tr>
      <w:tr w:rsidR="00472A27" w:rsidRPr="000A3F70" w:rsidTr="001C0F0B">
        <w:tc>
          <w:tcPr>
            <w:tcW w:w="1271" w:type="dxa"/>
          </w:tcPr>
          <w:p w:rsidR="00472A27" w:rsidRPr="000A3F70" w:rsidRDefault="00472A27" w:rsidP="001C0F0B">
            <w:pPr>
              <w:rPr>
                <w:rFonts w:ascii="Calibri" w:eastAsia="Times New Roman" w:hAnsi="Calibri" w:cs="Times New Roman"/>
                <w:sz w:val="20"/>
                <w:szCs w:val="20"/>
                <w:lang w:val="en-GB"/>
              </w:rPr>
            </w:pPr>
          </w:p>
        </w:tc>
        <w:tc>
          <w:tcPr>
            <w:tcW w:w="3402" w:type="dxa"/>
            <w:shd w:val="clear" w:color="auto" w:fill="auto"/>
          </w:tcPr>
          <w:p w:rsidR="00472A27" w:rsidRPr="000A3F70" w:rsidRDefault="00472A27" w:rsidP="001C0F0B">
            <w:pPr>
              <w:rPr>
                <w:rFonts w:ascii="Calibri" w:eastAsia="Times New Roman" w:hAnsi="Calibri" w:cs="Times New Roman"/>
                <w:lang w:val="en-GB"/>
              </w:rPr>
            </w:pPr>
          </w:p>
        </w:tc>
        <w:tc>
          <w:tcPr>
            <w:tcW w:w="4343" w:type="dxa"/>
            <w:shd w:val="clear" w:color="auto" w:fill="DEEAF6" w:themeFill="accent1" w:themeFillTint="33"/>
          </w:tcPr>
          <w:p w:rsidR="00472A27" w:rsidRPr="000A3F70" w:rsidRDefault="00472A27" w:rsidP="00C90305">
            <w:pPr>
              <w:numPr>
                <w:ilvl w:val="0"/>
                <w:numId w:val="7"/>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objectives and purposes of each of the programme’s elements are clear to learners and to the provider’s staff.</w:t>
            </w:r>
          </w:p>
        </w:tc>
      </w:tr>
      <w:tr w:rsidR="00472A27" w:rsidRPr="000A3F70" w:rsidTr="001C0F0B">
        <w:tc>
          <w:tcPr>
            <w:tcW w:w="1271" w:type="dxa"/>
          </w:tcPr>
          <w:p w:rsidR="00472A27" w:rsidRPr="000A3F70" w:rsidRDefault="00472A27" w:rsidP="001C0F0B">
            <w:pPr>
              <w:rPr>
                <w:rFonts w:ascii="Calibri" w:eastAsia="Times New Roman" w:hAnsi="Calibri" w:cs="Times New Roman"/>
                <w:sz w:val="20"/>
                <w:szCs w:val="20"/>
                <w:lang w:val="en-GB"/>
              </w:rPr>
            </w:pPr>
          </w:p>
        </w:tc>
        <w:tc>
          <w:tcPr>
            <w:tcW w:w="3402" w:type="dxa"/>
            <w:shd w:val="clear" w:color="auto" w:fill="auto"/>
          </w:tcPr>
          <w:p w:rsidR="00472A27" w:rsidRPr="000A3F70" w:rsidRDefault="00472A27" w:rsidP="001C0F0B">
            <w:pPr>
              <w:rPr>
                <w:rFonts w:ascii="Calibri" w:eastAsia="Times New Roman" w:hAnsi="Calibri" w:cs="Times New Roman"/>
                <w:lang w:val="en-GB"/>
              </w:rPr>
            </w:pPr>
          </w:p>
        </w:tc>
        <w:tc>
          <w:tcPr>
            <w:tcW w:w="4343" w:type="dxa"/>
            <w:shd w:val="clear" w:color="auto" w:fill="DEEAF6" w:themeFill="accent1" w:themeFillTint="33"/>
          </w:tcPr>
          <w:p w:rsidR="00472A27" w:rsidRPr="000A3F70" w:rsidRDefault="00472A27" w:rsidP="00C90305">
            <w:pPr>
              <w:numPr>
                <w:ilvl w:val="0"/>
                <w:numId w:val="7"/>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programme is structured and scheduled realistically based on sound educational and training principles</w:t>
            </w:r>
            <w:r w:rsidRPr="000A3F70">
              <w:rPr>
                <w:rFonts w:ascii="Calibri" w:eastAsia="Times New Roman" w:hAnsi="Calibri" w:cs="Times New Roman"/>
                <w:sz w:val="20"/>
                <w:szCs w:val="20"/>
                <w:vertAlign w:val="superscript"/>
                <w:lang w:val="en-GB"/>
              </w:rPr>
              <w:footnoteReference w:id="15"/>
            </w:r>
            <w:r w:rsidRPr="000A3F70">
              <w:rPr>
                <w:rFonts w:ascii="Calibri" w:eastAsia="Times New Roman" w:hAnsi="Calibri" w:cs="Times New Roman"/>
                <w:sz w:val="20"/>
                <w:szCs w:val="20"/>
                <w:lang w:val="en-GB"/>
              </w:rPr>
              <w:t xml:space="preserve">. </w:t>
            </w:r>
          </w:p>
        </w:tc>
      </w:tr>
      <w:tr w:rsidR="00472A27" w:rsidRPr="000A3F70" w:rsidTr="001C0F0B">
        <w:tc>
          <w:tcPr>
            <w:tcW w:w="1271" w:type="dxa"/>
          </w:tcPr>
          <w:p w:rsidR="00472A27" w:rsidRPr="000A3F70" w:rsidRDefault="00472A27" w:rsidP="001C0F0B">
            <w:pPr>
              <w:rPr>
                <w:rFonts w:ascii="Calibri" w:eastAsia="Times New Roman" w:hAnsi="Calibri" w:cs="Times New Roman"/>
                <w:sz w:val="20"/>
                <w:szCs w:val="20"/>
                <w:lang w:val="en-GB"/>
              </w:rPr>
            </w:pPr>
          </w:p>
        </w:tc>
        <w:tc>
          <w:tcPr>
            <w:tcW w:w="3402" w:type="dxa"/>
            <w:shd w:val="clear" w:color="auto" w:fill="auto"/>
          </w:tcPr>
          <w:p w:rsidR="00472A27" w:rsidRPr="000A3F70" w:rsidRDefault="00472A27" w:rsidP="001C0F0B">
            <w:pPr>
              <w:rPr>
                <w:rFonts w:ascii="Calibri" w:eastAsia="Times New Roman" w:hAnsi="Calibri" w:cs="Times New Roman"/>
                <w:lang w:val="en-GB"/>
              </w:rPr>
            </w:pPr>
          </w:p>
        </w:tc>
        <w:tc>
          <w:tcPr>
            <w:tcW w:w="4343" w:type="dxa"/>
            <w:shd w:val="clear" w:color="auto" w:fill="DEEAF6" w:themeFill="accent1" w:themeFillTint="33"/>
          </w:tcPr>
          <w:p w:rsidR="00472A27" w:rsidRPr="000A3F70" w:rsidRDefault="00472A27" w:rsidP="00C90305">
            <w:pPr>
              <w:numPr>
                <w:ilvl w:val="0"/>
                <w:numId w:val="7"/>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curriculum is comprehensively and systematically documented.</w:t>
            </w:r>
          </w:p>
        </w:tc>
      </w:tr>
      <w:tr w:rsidR="00472A27" w:rsidRPr="000A3F70" w:rsidTr="001C0F0B">
        <w:tc>
          <w:tcPr>
            <w:tcW w:w="1271" w:type="dxa"/>
          </w:tcPr>
          <w:p w:rsidR="00472A27" w:rsidRPr="000A3F70" w:rsidRDefault="00472A27" w:rsidP="001C0F0B">
            <w:pPr>
              <w:rPr>
                <w:rFonts w:ascii="Calibri" w:eastAsia="Times New Roman" w:hAnsi="Calibri" w:cs="Times New Roman"/>
                <w:sz w:val="20"/>
                <w:szCs w:val="20"/>
                <w:lang w:val="en-GB"/>
              </w:rPr>
            </w:pPr>
          </w:p>
        </w:tc>
        <w:tc>
          <w:tcPr>
            <w:tcW w:w="3402" w:type="dxa"/>
            <w:shd w:val="clear" w:color="auto" w:fill="auto"/>
          </w:tcPr>
          <w:p w:rsidR="00472A27" w:rsidRPr="000A3F70" w:rsidRDefault="00472A27" w:rsidP="001C0F0B">
            <w:pPr>
              <w:rPr>
                <w:rFonts w:ascii="Calibri" w:eastAsia="Times New Roman" w:hAnsi="Calibri" w:cs="Times New Roman"/>
                <w:lang w:val="en-GB"/>
              </w:rPr>
            </w:pPr>
          </w:p>
        </w:tc>
        <w:tc>
          <w:tcPr>
            <w:tcW w:w="4343" w:type="dxa"/>
            <w:shd w:val="clear" w:color="auto" w:fill="DEEAF6" w:themeFill="accent1" w:themeFillTint="33"/>
          </w:tcPr>
          <w:p w:rsidR="00472A27" w:rsidRPr="000A3F70" w:rsidRDefault="00472A27" w:rsidP="00C90305">
            <w:pPr>
              <w:numPr>
                <w:ilvl w:val="0"/>
                <w:numId w:val="7"/>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credit allocated to the programme is consistent with the difference between the entry standard and minimum intended programme learning outcomes.</w:t>
            </w:r>
          </w:p>
        </w:tc>
      </w:tr>
      <w:tr w:rsidR="00472A27" w:rsidRPr="000A3F70" w:rsidTr="001C0F0B">
        <w:tc>
          <w:tcPr>
            <w:tcW w:w="1271" w:type="dxa"/>
          </w:tcPr>
          <w:p w:rsidR="00472A27" w:rsidRPr="000A3F70" w:rsidRDefault="00472A27" w:rsidP="001C0F0B">
            <w:pPr>
              <w:rPr>
                <w:rFonts w:ascii="Calibri" w:eastAsia="Times New Roman" w:hAnsi="Calibri" w:cs="Times New Roman"/>
                <w:sz w:val="20"/>
                <w:szCs w:val="20"/>
                <w:lang w:val="en-GB"/>
              </w:rPr>
            </w:pPr>
          </w:p>
        </w:tc>
        <w:tc>
          <w:tcPr>
            <w:tcW w:w="3402" w:type="dxa"/>
            <w:shd w:val="clear" w:color="auto" w:fill="auto"/>
          </w:tcPr>
          <w:p w:rsidR="00472A27" w:rsidRPr="000A3F70" w:rsidRDefault="00472A27" w:rsidP="001C0F0B">
            <w:pPr>
              <w:rPr>
                <w:rFonts w:ascii="Calibri" w:eastAsia="Times New Roman" w:hAnsi="Calibri" w:cs="Times New Roman"/>
                <w:lang w:val="en-GB"/>
              </w:rPr>
            </w:pPr>
          </w:p>
        </w:tc>
        <w:tc>
          <w:tcPr>
            <w:tcW w:w="4343" w:type="dxa"/>
            <w:shd w:val="clear" w:color="auto" w:fill="DEEAF6" w:themeFill="accent1" w:themeFillTint="33"/>
          </w:tcPr>
          <w:p w:rsidR="00472A27" w:rsidRPr="000A3F70" w:rsidRDefault="00472A27" w:rsidP="00C90305">
            <w:pPr>
              <w:numPr>
                <w:ilvl w:val="0"/>
                <w:numId w:val="7"/>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credit allocated to each module is consistent with the difference between the module entry standard and minimum intended module learning outcomes.</w:t>
            </w:r>
          </w:p>
        </w:tc>
      </w:tr>
      <w:tr w:rsidR="00472A27" w:rsidRPr="000A3F70" w:rsidTr="001C0F0B">
        <w:tc>
          <w:tcPr>
            <w:tcW w:w="1271" w:type="dxa"/>
          </w:tcPr>
          <w:p w:rsidR="00472A27" w:rsidRPr="000A3F70" w:rsidRDefault="00472A27" w:rsidP="001C0F0B">
            <w:pPr>
              <w:rPr>
                <w:rFonts w:ascii="Calibri" w:eastAsia="Times New Roman" w:hAnsi="Calibri" w:cs="Times New Roman"/>
                <w:sz w:val="20"/>
                <w:szCs w:val="20"/>
                <w:lang w:val="en-GB"/>
              </w:rPr>
            </w:pPr>
          </w:p>
        </w:tc>
        <w:tc>
          <w:tcPr>
            <w:tcW w:w="3402" w:type="dxa"/>
            <w:shd w:val="clear" w:color="auto" w:fill="auto"/>
          </w:tcPr>
          <w:p w:rsidR="00472A27" w:rsidRPr="000A3F70" w:rsidRDefault="00472A27" w:rsidP="001C0F0B">
            <w:pPr>
              <w:rPr>
                <w:rFonts w:ascii="Calibri" w:eastAsia="Times New Roman" w:hAnsi="Calibri" w:cs="Times New Roman"/>
                <w:lang w:val="en-GB"/>
              </w:rPr>
            </w:pPr>
          </w:p>
        </w:tc>
        <w:tc>
          <w:tcPr>
            <w:tcW w:w="4343" w:type="dxa"/>
            <w:shd w:val="clear" w:color="auto" w:fill="DEEAF6" w:themeFill="accent1" w:themeFillTint="33"/>
          </w:tcPr>
          <w:p w:rsidR="00472A27" w:rsidRPr="000A3F70" w:rsidRDefault="00472A27" w:rsidP="00C90305">
            <w:pPr>
              <w:numPr>
                <w:ilvl w:val="0"/>
                <w:numId w:val="7"/>
              </w:numPr>
              <w:contextualSpacing/>
              <w:rPr>
                <w:sz w:val="20"/>
                <w:szCs w:val="20"/>
              </w:rPr>
            </w:pPr>
            <w:r w:rsidRPr="000A3F70">
              <w:rPr>
                <w:rFonts w:ascii="Calibri" w:eastAsia="Times New Roman" w:hAnsi="Calibri" w:cs="Times New Roman"/>
                <w:sz w:val="20"/>
                <w:szCs w:val="20"/>
                <w:lang w:val="en-GB"/>
              </w:rPr>
              <w:t>Elements such as practice placement and work based phases are provided with the same rigour and attentiveness as other elements.</w:t>
            </w:r>
          </w:p>
        </w:tc>
      </w:tr>
      <w:tr w:rsidR="00472A27" w:rsidRPr="000A3F70" w:rsidTr="001C0F0B">
        <w:tc>
          <w:tcPr>
            <w:tcW w:w="1271" w:type="dxa"/>
          </w:tcPr>
          <w:p w:rsidR="00472A27" w:rsidRPr="000A3F70" w:rsidRDefault="00472A27" w:rsidP="001C0F0B">
            <w:pPr>
              <w:rPr>
                <w:rFonts w:ascii="Calibri" w:eastAsia="Times New Roman" w:hAnsi="Calibri" w:cs="Times New Roman"/>
                <w:sz w:val="20"/>
                <w:szCs w:val="20"/>
                <w:lang w:val="en-GB"/>
              </w:rPr>
            </w:pPr>
          </w:p>
        </w:tc>
        <w:tc>
          <w:tcPr>
            <w:tcW w:w="3402" w:type="dxa"/>
            <w:shd w:val="clear" w:color="auto" w:fill="auto"/>
          </w:tcPr>
          <w:p w:rsidR="00472A27" w:rsidRPr="000A3F70" w:rsidRDefault="00472A27" w:rsidP="001C0F0B">
            <w:pPr>
              <w:rPr>
                <w:rFonts w:ascii="Calibri" w:eastAsia="Times New Roman" w:hAnsi="Calibri" w:cs="Times New Roman"/>
                <w:lang w:val="en-GB"/>
              </w:rPr>
            </w:pPr>
          </w:p>
        </w:tc>
        <w:tc>
          <w:tcPr>
            <w:tcW w:w="4343" w:type="dxa"/>
            <w:shd w:val="clear" w:color="auto" w:fill="DEEAF6" w:themeFill="accent1" w:themeFillTint="33"/>
          </w:tcPr>
          <w:p w:rsidR="00472A27" w:rsidRPr="000A3F70" w:rsidRDefault="00472A27" w:rsidP="00C90305">
            <w:pPr>
              <w:numPr>
                <w:ilvl w:val="0"/>
                <w:numId w:val="7"/>
              </w:numPr>
              <w:contextualSpacing/>
              <w:rPr>
                <w:sz w:val="20"/>
                <w:szCs w:val="20"/>
              </w:rPr>
            </w:pPr>
            <w:r w:rsidRPr="000A3F70">
              <w:rPr>
                <w:rFonts w:ascii="Calibri" w:eastAsia="Times New Roman" w:hAnsi="Calibri" w:cs="Times New Roman"/>
                <w:sz w:val="20"/>
                <w:szCs w:val="20"/>
                <w:lang w:val="en-GB"/>
              </w:rPr>
              <w:t xml:space="preserve">The programme </w:t>
            </w:r>
            <w:r w:rsidRPr="000A3F70">
              <w:rPr>
                <w:rFonts w:ascii="Calibri" w:eastAsia="Times New Roman" w:hAnsi="Calibri" w:cs="Times New Roman"/>
                <w:b/>
                <w:sz w:val="20"/>
                <w:szCs w:val="20"/>
                <w:lang w:val="en-GB"/>
              </w:rPr>
              <w:t>duration</w:t>
            </w:r>
            <w:r w:rsidRPr="000A3F70">
              <w:rPr>
                <w:rFonts w:ascii="Calibri" w:eastAsia="Times New Roman" w:hAnsi="Calibri" w:cs="Times New Roman"/>
                <w:sz w:val="20"/>
                <w:szCs w:val="20"/>
                <w:lang w:val="en-GB"/>
              </w:rPr>
              <w:t xml:space="preserve"> (expressed in terms of time from initial enrolment to completion) and its </w:t>
            </w:r>
            <w:r w:rsidRPr="000A3F70">
              <w:rPr>
                <w:rFonts w:ascii="Calibri" w:eastAsia="Times New Roman" w:hAnsi="Calibri" w:cs="Times New Roman"/>
                <w:b/>
                <w:sz w:val="20"/>
                <w:szCs w:val="20"/>
                <w:lang w:val="en-GB"/>
              </w:rPr>
              <w:t>fulltime equivalent contact time</w:t>
            </w:r>
            <w:r w:rsidRPr="000A3F70">
              <w:rPr>
                <w:rFonts w:ascii="Calibri" w:eastAsia="Times New Roman" w:hAnsi="Calibri" w:cs="Times New Roman"/>
                <w:sz w:val="20"/>
                <w:szCs w:val="20"/>
                <w:lang w:val="en-GB"/>
              </w:rPr>
              <w:t xml:space="preserve"> (expressed in hours) are consistent with the difference between the minimum entry standard and award standard and with the credit allocation.</w:t>
            </w:r>
            <w:r w:rsidRPr="000A3F70">
              <w:rPr>
                <w:rFonts w:ascii="Calibri" w:eastAsia="Times New Roman" w:hAnsi="Calibri" w:cs="Times New Roman"/>
                <w:sz w:val="20"/>
                <w:szCs w:val="20"/>
                <w:vertAlign w:val="superscript"/>
                <w:lang w:val="en-GB"/>
              </w:rPr>
              <w:footnoteReference w:id="16"/>
            </w:r>
          </w:p>
        </w:tc>
      </w:tr>
    </w:tbl>
    <w:p w:rsidR="003072B7" w:rsidRPr="000A3F70" w:rsidRDefault="003072B7" w:rsidP="00013831"/>
    <w:p w:rsidR="003072B7" w:rsidRPr="003E271E" w:rsidRDefault="003072B7" w:rsidP="003072B7">
      <w:r w:rsidRPr="003E271E">
        <w:t xml:space="preserve">The panel was </w:t>
      </w:r>
      <w:r w:rsidR="00E826FC" w:rsidRPr="003E271E">
        <w:t xml:space="preserve">generally </w:t>
      </w:r>
      <w:r w:rsidRPr="003E271E">
        <w:t>satisfied that the programme</w:t>
      </w:r>
      <w:r w:rsidR="00E826FC" w:rsidRPr="003E271E">
        <w:t>s</w:t>
      </w:r>
      <w:r w:rsidRPr="003E271E">
        <w:t xml:space="preserve"> </w:t>
      </w:r>
      <w:r w:rsidR="003E271E" w:rsidRPr="003E271E">
        <w:t xml:space="preserve">and related modules </w:t>
      </w:r>
      <w:r w:rsidRPr="003E271E">
        <w:t>were appropriately structured and scheduled.</w:t>
      </w:r>
    </w:p>
    <w:p w:rsidR="003072B7" w:rsidRPr="003E271E" w:rsidRDefault="00E826FC" w:rsidP="00013831">
      <w:r w:rsidRPr="003E271E">
        <w:t>As stated in Section 7.5 of this report the MA in Addiction Studies is an academic programme providing a theoretical examination of addiction and there are no clinical components. The panel noted the shift from a psychoanalytic to a dialogical focus evidenced by the introduction of more contemporary issues such as the module 'Women in Addiction.'</w:t>
      </w:r>
    </w:p>
    <w:p w:rsidR="00F66330" w:rsidRPr="003E271E" w:rsidRDefault="00013831" w:rsidP="00E826FC">
      <w:r w:rsidRPr="003E271E">
        <w:t>The panel found that there was lack of coherence in the overall structure of the curriculum.</w:t>
      </w:r>
      <w:r w:rsidR="00E826FC" w:rsidRPr="003E271E">
        <w:t xml:space="preserve"> </w:t>
      </w:r>
      <w:r w:rsidR="00254D7C" w:rsidRPr="003E271E">
        <w:t>Concerns were raised</w:t>
      </w:r>
      <w:r w:rsidRPr="003E271E">
        <w:t xml:space="preserve"> by the panel</w:t>
      </w:r>
      <w:r w:rsidR="00254D7C" w:rsidRPr="003E271E">
        <w:t xml:space="preserve"> about the dilution of the academic programme by the addition of applied elements which appear to have served to increase students’ expectation</w:t>
      </w:r>
      <w:r w:rsidRPr="003E271E">
        <w:t xml:space="preserve">s of a more practice-based programmes. </w:t>
      </w:r>
      <w:r w:rsidR="00D83F8C" w:rsidRPr="003E271E">
        <w:t xml:space="preserve"> Feedback from students </w:t>
      </w:r>
      <w:r w:rsidR="00634D06" w:rsidRPr="003E271E">
        <w:t xml:space="preserve">and graduates </w:t>
      </w:r>
      <w:r w:rsidR="00415B0E" w:rsidRPr="003E271E">
        <w:t>indicated that they would welcome more</w:t>
      </w:r>
      <w:r w:rsidR="00E826FC" w:rsidRPr="003E271E">
        <w:t xml:space="preserve"> of opportunities such as the clinical supervision visits currently provided. </w:t>
      </w:r>
      <w:r w:rsidR="00F66330" w:rsidRPr="003E271E">
        <w:t>C</w:t>
      </w:r>
      <w:r w:rsidR="00A334B9" w:rsidRPr="003E271E">
        <w:t>ontrary to the</w:t>
      </w:r>
      <w:r w:rsidR="003072B7" w:rsidRPr="003E271E">
        <w:t xml:space="preserve"> stated focus</w:t>
      </w:r>
      <w:r w:rsidR="00A334B9" w:rsidRPr="003E271E">
        <w:t xml:space="preserve"> of programme</w:t>
      </w:r>
      <w:r w:rsidR="00F66330" w:rsidRPr="003E271E">
        <w:t>, stude</w:t>
      </w:r>
      <w:r w:rsidR="00A334B9" w:rsidRPr="003E271E">
        <w:t>nts and graduates expressed a preference for career paths that were</w:t>
      </w:r>
      <w:r w:rsidR="00F66330" w:rsidRPr="003E271E">
        <w:t xml:space="preserve"> practice related,</w:t>
      </w:r>
      <w:r w:rsidR="008C5ED2" w:rsidRPr="003E271E">
        <w:t xml:space="preserve"> rather than</w:t>
      </w:r>
      <w:r w:rsidR="00A334B9" w:rsidRPr="003E271E">
        <w:t xml:space="preserve"> in the academic areas of</w:t>
      </w:r>
      <w:r w:rsidR="008C5ED2" w:rsidRPr="003E271E">
        <w:t xml:space="preserve"> research or policy.</w:t>
      </w:r>
      <w:r w:rsidR="00F66330" w:rsidRPr="003E271E">
        <w:t xml:space="preserve"> </w:t>
      </w:r>
    </w:p>
    <w:p w:rsidR="00E826FC" w:rsidRPr="003E271E" w:rsidRDefault="00E826FC" w:rsidP="00E826FC">
      <w:pPr>
        <w:pStyle w:val="NoSpacing"/>
      </w:pPr>
      <w:r w:rsidRPr="003E271E">
        <w:t>Recommendation 1</w:t>
      </w:r>
    </w:p>
    <w:p w:rsidR="00E826FC" w:rsidRPr="003E271E" w:rsidRDefault="00E826FC" w:rsidP="00E826FC">
      <w:pPr>
        <w:pStyle w:val="NoSpacing"/>
      </w:pPr>
      <w:r w:rsidRPr="003E271E">
        <w:t xml:space="preserve"> The curriculum of the MA in Addiction Studies be reviewed to ensure greater conceptual integration and oversight.</w:t>
      </w:r>
    </w:p>
    <w:p w:rsidR="008477CF" w:rsidRPr="003E271E" w:rsidRDefault="008477CF" w:rsidP="00472A27">
      <w:pPr>
        <w:pStyle w:val="NoSpacing"/>
      </w:pPr>
    </w:p>
    <w:p w:rsidR="008477CF" w:rsidRPr="003E271E" w:rsidRDefault="0008667A" w:rsidP="00472A27">
      <w:pPr>
        <w:pStyle w:val="NoSpacing"/>
      </w:pPr>
      <w:r w:rsidRPr="003E271E">
        <w:t>In relation to the MA in Addiction Studies, t</w:t>
      </w:r>
      <w:r w:rsidR="00F0098C" w:rsidRPr="003E271E">
        <w:t>he panel raised the issue of the importance of an adequate level of supervision on clinica</w:t>
      </w:r>
      <w:r w:rsidR="003E271E" w:rsidRPr="003E271E">
        <w:t>l visits. The example was given</w:t>
      </w:r>
      <w:r w:rsidR="00F0098C" w:rsidRPr="003E271E">
        <w:t xml:space="preserve"> of ethical concerns in relation to</w:t>
      </w:r>
      <w:r w:rsidR="008477CF" w:rsidRPr="003E271E">
        <w:t xml:space="preserve"> groups of students</w:t>
      </w:r>
      <w:r w:rsidR="00A334B9" w:rsidRPr="003E271E">
        <w:t xml:space="preserve"> on visits to services</w:t>
      </w:r>
      <w:r w:rsidR="00F0098C" w:rsidRPr="003E271E">
        <w:t xml:space="preserve"> with</w:t>
      </w:r>
      <w:r w:rsidR="008477CF" w:rsidRPr="003E271E">
        <w:t xml:space="preserve"> vulnerable services users</w:t>
      </w:r>
      <w:r w:rsidR="00F0098C" w:rsidRPr="003E271E">
        <w:t xml:space="preserve"> who may have a limited capacity to comprehend or consent</w:t>
      </w:r>
      <w:r w:rsidRPr="003E271E">
        <w:t xml:space="preserve"> to such interactions.</w:t>
      </w:r>
    </w:p>
    <w:p w:rsidR="0008667A" w:rsidRPr="003E271E" w:rsidRDefault="0008667A" w:rsidP="00472A27">
      <w:pPr>
        <w:pStyle w:val="NoSpacing"/>
      </w:pPr>
    </w:p>
    <w:p w:rsidR="00254D7C" w:rsidRPr="006A2D14" w:rsidRDefault="0008667A" w:rsidP="00472A27">
      <w:pPr>
        <w:pStyle w:val="NoSpacing"/>
      </w:pPr>
      <w:r w:rsidRPr="003E271E">
        <w:t>The panel noted the positive feedback from students and graduates in relation to the 'hands on' nature of the clinical placements provided on the MA in Psychoanalytic Psychotherapy programme. They had also found the case conferences to be beneficial. It was acknowledged by the Programme Manager that some supervision personnel had been in place for a lengthy time period and that the risks around a</w:t>
      </w:r>
      <w:r w:rsidR="006A2D14">
        <w:t>ttrition needed to be monitored.</w:t>
      </w:r>
    </w:p>
    <w:p w:rsidR="00472A27" w:rsidRDefault="00472A27" w:rsidP="005C0200">
      <w:pPr>
        <w:pStyle w:val="Heading2"/>
        <w:numPr>
          <w:ilvl w:val="0"/>
          <w:numId w:val="0"/>
        </w:numPr>
        <w:ind w:left="576" w:hanging="576"/>
        <w:rPr>
          <w:rFonts w:asciiTheme="minorHAnsi" w:eastAsiaTheme="minorHAnsi" w:hAnsiTheme="minorHAnsi" w:cstheme="minorBidi"/>
          <w:color w:val="auto"/>
          <w:sz w:val="22"/>
          <w:szCs w:val="22"/>
        </w:rPr>
      </w:pPr>
    </w:p>
    <w:p w:rsidR="003E271E" w:rsidRPr="003E271E" w:rsidRDefault="003E271E" w:rsidP="003E271E"/>
    <w:p w:rsidR="00472A27" w:rsidRPr="000A3F70" w:rsidRDefault="005C0200" w:rsidP="005C0200">
      <w:pPr>
        <w:pStyle w:val="Heading2"/>
        <w:numPr>
          <w:ilvl w:val="0"/>
          <w:numId w:val="0"/>
        </w:numPr>
        <w:rPr>
          <w:rFonts w:eastAsia="Times New Roman"/>
          <w:color w:val="auto"/>
          <w:lang w:val="en-GB"/>
        </w:rPr>
      </w:pPr>
      <w:bookmarkStart w:id="62" w:name="_Toc479176631"/>
      <w:bookmarkStart w:id="63" w:name="_Toc479176718"/>
      <w:bookmarkStart w:id="64" w:name="_Toc513221608"/>
      <w:r w:rsidRPr="000A3F70">
        <w:rPr>
          <w:rFonts w:eastAsia="Times New Roman"/>
          <w:color w:val="auto"/>
          <w:lang w:val="en-GB"/>
        </w:rPr>
        <w:t xml:space="preserve">7.10: Criterion 6: </w:t>
      </w:r>
      <w:r w:rsidR="00472A27" w:rsidRPr="000A3F70">
        <w:rPr>
          <w:rFonts w:eastAsia="Times New Roman"/>
          <w:color w:val="auto"/>
          <w:lang w:val="en-GB"/>
        </w:rPr>
        <w:t>There are sufficient qualified and capable programme staff available to implement the programme as planned</w:t>
      </w:r>
      <w:bookmarkEnd w:id="62"/>
      <w:bookmarkEnd w:id="63"/>
      <w:bookmarkEnd w:id="64"/>
      <w:r w:rsidR="00472A27" w:rsidRPr="000A3F70">
        <w:rPr>
          <w:rFonts w:eastAsia="Times New Roman"/>
          <w:color w:val="auto"/>
          <w:lang w:val="en-GB"/>
        </w:rPr>
        <w:t xml:space="preserve">  </w:t>
      </w:r>
    </w:p>
    <w:tbl>
      <w:tblPr>
        <w:tblStyle w:val="TableGrid"/>
        <w:tblW w:w="0" w:type="auto"/>
        <w:tblInd w:w="-5" w:type="dxa"/>
        <w:tblLook w:val="04A0" w:firstRow="1" w:lastRow="0" w:firstColumn="1" w:lastColumn="0" w:noHBand="0" w:noVBand="1"/>
      </w:tblPr>
      <w:tblGrid>
        <w:gridCol w:w="1196"/>
        <w:gridCol w:w="3439"/>
        <w:gridCol w:w="4386"/>
      </w:tblGrid>
      <w:tr w:rsidR="00472A27" w:rsidRPr="000A3F70" w:rsidTr="001C0F0B">
        <w:tc>
          <w:tcPr>
            <w:tcW w:w="1196" w:type="dxa"/>
            <w:shd w:val="clear" w:color="auto" w:fill="DEEAF6" w:themeFill="accent1" w:themeFillTint="33"/>
          </w:tcPr>
          <w:p w:rsidR="00472A27"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 xml:space="preserve">Satisfactory </w:t>
            </w:r>
          </w:p>
          <w:p w:rsidR="003E6CE8" w:rsidRPr="003E271E" w:rsidRDefault="003E6CE8" w:rsidP="001C0F0B">
            <w:pPr>
              <w:contextualSpacing/>
              <w:rPr>
                <w:rFonts w:ascii="Calibri" w:eastAsia="Times New Roman" w:hAnsi="Calibri" w:cs="Times New Roman"/>
                <w:b/>
                <w:sz w:val="20"/>
                <w:szCs w:val="20"/>
                <w:lang w:val="en-GB"/>
              </w:rPr>
            </w:pPr>
            <w:r w:rsidRPr="003E271E">
              <w:rPr>
                <w:rFonts w:ascii="Calibri" w:eastAsia="Times New Roman" w:hAnsi="Calibri" w:cs="Times New Roman"/>
                <w:b/>
                <w:sz w:val="20"/>
                <w:szCs w:val="20"/>
                <w:lang w:val="en-GB"/>
              </w:rPr>
              <w:t>Yes</w:t>
            </w:r>
          </w:p>
        </w:tc>
        <w:tc>
          <w:tcPr>
            <w:tcW w:w="3439"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386"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Sub-criteria</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rPr>
            </w:pPr>
          </w:p>
        </w:tc>
        <w:tc>
          <w:tcPr>
            <w:tcW w:w="3439" w:type="dxa"/>
            <w:shd w:val="clear" w:color="auto" w:fill="auto"/>
          </w:tcPr>
          <w:p w:rsidR="00472A27" w:rsidRPr="000A3F70" w:rsidRDefault="00472A27" w:rsidP="001C0F0B">
            <w:pPr>
              <w:rPr>
                <w:rFonts w:ascii="Calibri" w:eastAsia="Times New Roman" w:hAnsi="Calibri" w:cs="Times New Roman"/>
                <w:lang w:val="en-GB"/>
              </w:rPr>
            </w:pPr>
          </w:p>
        </w:tc>
        <w:tc>
          <w:tcPr>
            <w:tcW w:w="4386" w:type="dxa"/>
            <w:shd w:val="clear" w:color="auto" w:fill="DEEAF6" w:themeFill="accent1" w:themeFillTint="33"/>
          </w:tcPr>
          <w:p w:rsidR="00472A27" w:rsidRPr="000A3F70" w:rsidRDefault="00472A27" w:rsidP="00C90305">
            <w:pPr>
              <w:numPr>
                <w:ilvl w:val="0"/>
                <w:numId w:val="14"/>
              </w:numPr>
              <w:spacing w:line="256" w:lineRule="auto"/>
              <w:ind w:left="714" w:hanging="357"/>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unit (</w:t>
            </w:r>
            <w:r w:rsidR="00FC10F8">
              <w:fldChar w:fldCharType="begin"/>
            </w:r>
            <w:r w:rsidR="00FC10F8">
              <w:instrText xml:space="preserve"> REF _Ref436471190 \r \h  \* MERGEFORMAT </w:instrText>
            </w:r>
            <w:r w:rsidR="00FC10F8">
              <w:fldChar w:fldCharType="separate"/>
            </w:r>
            <w:r w:rsidR="00024768" w:rsidRPr="00024768">
              <w:rPr>
                <w:rFonts w:ascii="Calibri" w:eastAsia="Times New Roman" w:hAnsi="Calibri" w:cs="Times New Roman"/>
                <w:sz w:val="20"/>
                <w:szCs w:val="20"/>
                <w:lang w:val="en-GB"/>
              </w:rPr>
              <w:t>7.14</w:t>
            </w:r>
            <w:r w:rsidR="00FC10F8">
              <w:fldChar w:fldCharType="end"/>
            </w:r>
            <w:r w:rsidR="00FC10F8">
              <w:fldChar w:fldCharType="begin"/>
            </w:r>
            <w:r w:rsidR="00FC10F8">
              <w:instrText xml:space="preserve"> REF _Ref446082856 \r \h  \* MERGEFORMAT </w:instrText>
            </w:r>
            <w:r w:rsidR="00FC10F8">
              <w:fldChar w:fldCharType="separate"/>
            </w:r>
            <w:r w:rsidR="00024768" w:rsidRPr="00024768">
              <w:rPr>
                <w:rFonts w:ascii="Calibri" w:eastAsia="Times New Roman" w:hAnsi="Calibri" w:cs="Times New Roman"/>
                <w:sz w:val="20"/>
                <w:szCs w:val="20"/>
                <w:lang w:val="en-GB"/>
              </w:rPr>
              <w:t>c)</w:t>
            </w:r>
            <w:r w:rsidR="00FC10F8">
              <w:fldChar w:fldCharType="end"/>
            </w:r>
            <w:r w:rsidRPr="000A3F70">
              <w:rPr>
                <w:rFonts w:ascii="Calibri" w:eastAsia="Times New Roman" w:hAnsi="Calibri" w:cs="Times New Roman"/>
                <w:sz w:val="20"/>
                <w:szCs w:val="20"/>
                <w:lang w:val="en-GB"/>
              </w:rPr>
              <w:t>.</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rPr>
            </w:pPr>
          </w:p>
        </w:tc>
        <w:tc>
          <w:tcPr>
            <w:tcW w:w="3439" w:type="dxa"/>
            <w:shd w:val="clear" w:color="auto" w:fill="auto"/>
          </w:tcPr>
          <w:p w:rsidR="00472A27" w:rsidRPr="000A3F70" w:rsidRDefault="00472A27" w:rsidP="001C0F0B">
            <w:pPr>
              <w:rPr>
                <w:rFonts w:ascii="Calibri" w:eastAsia="Times New Roman" w:hAnsi="Calibri" w:cs="Times New Roman"/>
                <w:lang w:val="en-GB"/>
              </w:rPr>
            </w:pPr>
          </w:p>
        </w:tc>
        <w:tc>
          <w:tcPr>
            <w:tcW w:w="4386" w:type="dxa"/>
            <w:shd w:val="clear" w:color="auto" w:fill="DEEAF6" w:themeFill="accent1" w:themeFillTint="33"/>
          </w:tcPr>
          <w:p w:rsidR="00472A27" w:rsidRPr="000A3F70" w:rsidRDefault="00472A27" w:rsidP="00C90305">
            <w:pPr>
              <w:numPr>
                <w:ilvl w:val="0"/>
                <w:numId w:val="1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programme has an identified complement of staff</w:t>
            </w:r>
            <w:r w:rsidRPr="000A3F70">
              <w:rPr>
                <w:rFonts w:ascii="Calibri" w:eastAsia="Times New Roman" w:hAnsi="Calibri" w:cs="Times New Roman"/>
                <w:sz w:val="20"/>
                <w:szCs w:val="20"/>
                <w:vertAlign w:val="superscript"/>
                <w:lang w:val="en-GB"/>
              </w:rPr>
              <w:footnoteReference w:id="17"/>
            </w:r>
            <w:r w:rsidRPr="000A3F70">
              <w:rPr>
                <w:rFonts w:ascii="Calibri" w:eastAsia="Times New Roman" w:hAnsi="Calibri" w:cs="Times New Roman"/>
                <w:sz w:val="20"/>
                <w:szCs w:val="20"/>
                <w:lang w:val="en-GB"/>
              </w:rPr>
              <w:t xml:space="preserve"> (or potential staff) who are available, qualified and capable to provide the specified programme in the context of their existing commitments.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rPr>
            </w:pPr>
          </w:p>
        </w:tc>
        <w:tc>
          <w:tcPr>
            <w:tcW w:w="3439" w:type="dxa"/>
            <w:shd w:val="clear" w:color="auto" w:fill="auto"/>
          </w:tcPr>
          <w:p w:rsidR="00472A27" w:rsidRPr="000A3F70" w:rsidRDefault="00472A27" w:rsidP="001C0F0B">
            <w:pPr>
              <w:rPr>
                <w:rFonts w:ascii="Calibri" w:eastAsia="Times New Roman" w:hAnsi="Calibri" w:cs="Times New Roman"/>
              </w:rPr>
            </w:pPr>
          </w:p>
        </w:tc>
        <w:tc>
          <w:tcPr>
            <w:tcW w:w="4386" w:type="dxa"/>
            <w:shd w:val="clear" w:color="auto" w:fill="DEEAF6" w:themeFill="accent1" w:themeFillTint="33"/>
          </w:tcPr>
          <w:p w:rsidR="00472A27" w:rsidRPr="000A3F70" w:rsidRDefault="00472A27" w:rsidP="00C90305">
            <w:pPr>
              <w:numPr>
                <w:ilvl w:val="0"/>
                <w:numId w:val="14"/>
              </w:numPr>
              <w:contextualSpacing/>
              <w:rPr>
                <w:rFonts w:ascii="Calibri" w:eastAsia="Times New Roman" w:hAnsi="Calibri" w:cs="Times New Roman"/>
                <w:sz w:val="20"/>
                <w:szCs w:val="20"/>
              </w:rPr>
            </w:pPr>
            <w:r w:rsidRPr="000A3F70">
              <w:rPr>
                <w:rFonts w:ascii="Calibri" w:eastAsia="Times New Roman" w:hAnsi="Calibri" w:cs="Times New Roman"/>
                <w:sz w:val="20"/>
                <w:szCs w:val="20"/>
              </w:rPr>
              <w:t xml:space="preserve">The programme's complement of staff </w:t>
            </w:r>
            <w:r w:rsidRPr="000A3F70">
              <w:rPr>
                <w:rFonts w:ascii="Calibri" w:eastAsia="Times New Roman" w:hAnsi="Calibri" w:cs="Times New Roman"/>
                <w:sz w:val="20"/>
                <w:szCs w:val="20"/>
                <w:lang w:val="en-GB"/>
              </w:rPr>
              <w:t xml:space="preserve">(or potential staff) </w:t>
            </w:r>
            <w:r w:rsidRPr="000A3F70">
              <w:rPr>
                <w:rFonts w:ascii="Calibri" w:eastAsia="Times New Roman" w:hAnsi="Calibri" w:cs="Times New Roman"/>
                <w:sz w:val="20"/>
                <w:szCs w:val="20"/>
              </w:rPr>
              <w:t>(those who support learning including any employer-based personnel) are demonstrated to be competent to enable learners to achieve the intended programme learning outcomes and to assess learners’ achievements as required.</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rPr>
            </w:pPr>
          </w:p>
        </w:tc>
        <w:tc>
          <w:tcPr>
            <w:tcW w:w="3439" w:type="dxa"/>
            <w:shd w:val="clear" w:color="auto" w:fill="auto"/>
          </w:tcPr>
          <w:p w:rsidR="00472A27" w:rsidRPr="000A3F70" w:rsidRDefault="00472A27" w:rsidP="001C0F0B">
            <w:pPr>
              <w:rPr>
                <w:rFonts w:ascii="Calibri" w:eastAsia="Times New Roman" w:hAnsi="Calibri" w:cs="Times New Roman"/>
              </w:rPr>
            </w:pPr>
          </w:p>
        </w:tc>
        <w:tc>
          <w:tcPr>
            <w:tcW w:w="4386" w:type="dxa"/>
            <w:shd w:val="clear" w:color="auto" w:fill="DEEAF6" w:themeFill="accent1" w:themeFillTint="33"/>
          </w:tcPr>
          <w:p w:rsidR="00472A27" w:rsidRPr="000A3F70" w:rsidRDefault="00472A27" w:rsidP="00C90305">
            <w:pPr>
              <w:numPr>
                <w:ilvl w:val="0"/>
                <w:numId w:val="14"/>
              </w:numPr>
              <w:contextualSpacing/>
              <w:rPr>
                <w:rFonts w:ascii="Calibri" w:eastAsia="Times New Roman" w:hAnsi="Calibri" w:cs="Times New Roman"/>
                <w:sz w:val="20"/>
                <w:szCs w:val="20"/>
              </w:rPr>
            </w:pPr>
            <w:r w:rsidRPr="000A3F70">
              <w:rPr>
                <w:rFonts w:ascii="Calibri" w:eastAsia="Times New Roman" w:hAnsi="Calibri" w:cs="Times New Roman"/>
                <w:sz w:val="20"/>
                <w:szCs w:val="20"/>
              </w:rPr>
              <w:t>There are arrangements for the performance of the programme’s staff to be managed to ensure continuing capability to fulfil their roles and there are staff development</w:t>
            </w:r>
            <w:r w:rsidRPr="000A3F70">
              <w:rPr>
                <w:rFonts w:ascii="Calibri" w:eastAsia="Times New Roman" w:hAnsi="Calibri" w:cs="Times New Roman"/>
                <w:sz w:val="20"/>
                <w:szCs w:val="20"/>
                <w:vertAlign w:val="superscript"/>
              </w:rPr>
              <w:footnoteReference w:id="18"/>
            </w:r>
            <w:r w:rsidRPr="000A3F70">
              <w:rPr>
                <w:rFonts w:ascii="Calibri" w:eastAsia="Times New Roman" w:hAnsi="Calibri" w:cs="Times New Roman"/>
                <w:sz w:val="20"/>
                <w:szCs w:val="20"/>
              </w:rPr>
              <w:t xml:space="preserve"> opportunities</w:t>
            </w:r>
            <w:r w:rsidRPr="000A3F70">
              <w:rPr>
                <w:rFonts w:ascii="Calibri" w:eastAsia="Times New Roman" w:hAnsi="Calibri" w:cs="Times New Roman"/>
                <w:sz w:val="20"/>
                <w:szCs w:val="20"/>
                <w:vertAlign w:val="superscript"/>
              </w:rPr>
              <w:footnoteReference w:id="19"/>
            </w:r>
            <w:r w:rsidRPr="000A3F70">
              <w:rPr>
                <w:rFonts w:ascii="Calibri" w:eastAsia="Times New Roman" w:hAnsi="Calibri" w:cs="Times New Roman"/>
                <w:sz w:val="20"/>
                <w:szCs w:val="20"/>
              </w:rPr>
              <w:t>.</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rPr>
            </w:pPr>
          </w:p>
        </w:tc>
        <w:tc>
          <w:tcPr>
            <w:tcW w:w="3439" w:type="dxa"/>
            <w:shd w:val="clear" w:color="auto" w:fill="auto"/>
          </w:tcPr>
          <w:p w:rsidR="00472A27" w:rsidRPr="000A3F70" w:rsidRDefault="00472A27" w:rsidP="001C0F0B">
            <w:pPr>
              <w:rPr>
                <w:rFonts w:ascii="Calibri" w:eastAsia="Times New Roman" w:hAnsi="Calibri" w:cs="Times New Roman"/>
                <w:lang w:val="en-GB"/>
              </w:rPr>
            </w:pPr>
          </w:p>
        </w:tc>
        <w:tc>
          <w:tcPr>
            <w:tcW w:w="4386" w:type="dxa"/>
            <w:shd w:val="clear" w:color="auto" w:fill="DEEAF6" w:themeFill="accent1" w:themeFillTint="33"/>
          </w:tcPr>
          <w:p w:rsidR="00472A27" w:rsidRPr="000A3F70" w:rsidRDefault="00472A27" w:rsidP="00C90305">
            <w:pPr>
              <w:numPr>
                <w:ilvl w:val="0"/>
                <w:numId w:val="1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There are arrangements for programme staff performance to be reviewed and there are mechanisms for encouraging development and for addressing underperformance.</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rPr>
            </w:pPr>
          </w:p>
        </w:tc>
        <w:tc>
          <w:tcPr>
            <w:tcW w:w="3439" w:type="dxa"/>
            <w:shd w:val="clear" w:color="auto" w:fill="auto"/>
          </w:tcPr>
          <w:p w:rsidR="00472A27" w:rsidRPr="000A3F70" w:rsidRDefault="00472A27" w:rsidP="001C0F0B">
            <w:pPr>
              <w:rPr>
                <w:rFonts w:ascii="Calibri" w:eastAsia="Times New Roman" w:hAnsi="Calibri" w:cs="Times New Roman"/>
                <w:lang w:val="en-GB"/>
              </w:rPr>
            </w:pPr>
          </w:p>
        </w:tc>
        <w:tc>
          <w:tcPr>
            <w:tcW w:w="4386" w:type="dxa"/>
            <w:shd w:val="clear" w:color="auto" w:fill="DEEAF6" w:themeFill="accent1" w:themeFillTint="33"/>
          </w:tcPr>
          <w:p w:rsidR="00472A27" w:rsidRPr="000A3F70" w:rsidRDefault="00472A27" w:rsidP="00C90305">
            <w:pPr>
              <w:numPr>
                <w:ilvl w:val="0"/>
                <w:numId w:val="14"/>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Where the programme is to be provided by staff not already in post there are arrangements to ensure that the programme will not enrol learners unless </w:t>
            </w:r>
            <w:r w:rsidRPr="000A3F70">
              <w:rPr>
                <w:rFonts w:ascii="Calibri" w:eastAsia="Times New Roman" w:hAnsi="Calibri" w:cs="Times New Roman"/>
                <w:sz w:val="20"/>
                <w:szCs w:val="20"/>
              </w:rPr>
              <w:t>a complement of staff meeting the specifications is in post.</w:t>
            </w:r>
          </w:p>
        </w:tc>
      </w:tr>
    </w:tbl>
    <w:p w:rsidR="00E74A21" w:rsidRPr="000A3F70" w:rsidRDefault="00E74A21" w:rsidP="00E74A21"/>
    <w:p w:rsidR="00472A27" w:rsidRPr="003E271E" w:rsidRDefault="003E6CE8" w:rsidP="00472A27">
      <w:r w:rsidRPr="003E271E">
        <w:t xml:space="preserve">The panel was advised that </w:t>
      </w:r>
      <w:r w:rsidR="00E74A21" w:rsidRPr="003E271E">
        <w:t>teaching staff are qualifi</w:t>
      </w:r>
      <w:r w:rsidR="003044A4" w:rsidRPr="003E271E">
        <w:t xml:space="preserve">ed to a minimum of NFQ Level </w:t>
      </w:r>
      <w:r w:rsidR="00D04FFC" w:rsidRPr="003E271E">
        <w:t>9 with</w:t>
      </w:r>
      <w:r w:rsidR="00E74A21" w:rsidRPr="003E271E">
        <w:t xml:space="preserve"> many qualified to doctoral level or enrolled in doctoral studies. The panel noted that a </w:t>
      </w:r>
      <w:r w:rsidR="00E74A21" w:rsidRPr="009C7C20">
        <w:t xml:space="preserve">cohort </w:t>
      </w:r>
      <w:r w:rsidR="004265F3" w:rsidRPr="009C7C20">
        <w:t xml:space="preserve">of </w:t>
      </w:r>
      <w:r w:rsidR="00E74A21" w:rsidRPr="003E271E">
        <w:t>experienced psychoanalytic p</w:t>
      </w:r>
      <w:r w:rsidR="00B33820" w:rsidRPr="003E271E">
        <w:t>ractit</w:t>
      </w:r>
      <w:r w:rsidR="00E74A21" w:rsidRPr="003E271E">
        <w:t>ioners were involved in the delivery of the</w:t>
      </w:r>
      <w:r w:rsidR="00DC25B1" w:rsidRPr="003E271E">
        <w:t xml:space="preserve"> three</w:t>
      </w:r>
      <w:r w:rsidR="00E74A21" w:rsidRPr="003E271E">
        <w:t xml:space="preserve"> programmes. </w:t>
      </w:r>
    </w:p>
    <w:p w:rsidR="00ED2635" w:rsidRPr="000A3F70" w:rsidRDefault="00B54FFD" w:rsidP="00472A27">
      <w:r w:rsidRPr="003E271E">
        <w:t>T</w:t>
      </w:r>
      <w:r w:rsidR="00E74A21" w:rsidRPr="003E271E">
        <w:t>he panel found that there was a</w:t>
      </w:r>
      <w:r w:rsidR="008C5ED2" w:rsidRPr="003E271E">
        <w:t xml:space="preserve"> core of highly r</w:t>
      </w:r>
      <w:r w:rsidR="00E74A21" w:rsidRPr="003E271E">
        <w:t>esearch-</w:t>
      </w:r>
      <w:r w:rsidR="008C5ED2" w:rsidRPr="003E271E">
        <w:t>active academics</w:t>
      </w:r>
      <w:r w:rsidRPr="003E271E">
        <w:t xml:space="preserve"> as evident</w:t>
      </w:r>
      <w:r w:rsidR="00DC25B1" w:rsidRPr="003E271E">
        <w:t>, for example,</w:t>
      </w:r>
      <w:r w:rsidRPr="003E271E">
        <w:t xml:space="preserve"> in the Register of Scholarly Activities maintained by the </w:t>
      </w:r>
      <w:r w:rsidR="00DC25B1" w:rsidRPr="003E271E">
        <w:t>library.</w:t>
      </w:r>
      <w:r w:rsidRPr="003E271E">
        <w:t xml:space="preserve"> </w:t>
      </w:r>
      <w:r w:rsidR="00E74A21" w:rsidRPr="003E271E">
        <w:t xml:space="preserve"> The staff scholarship scheme was outlined and some of the staff were </w:t>
      </w:r>
      <w:r w:rsidR="003044A4" w:rsidRPr="003E271E">
        <w:t>utilising this resource</w:t>
      </w:r>
      <w:r w:rsidR="00E74A21" w:rsidRPr="003E271E">
        <w:t xml:space="preserve"> to conduct research. There was evidence of</w:t>
      </w:r>
      <w:r w:rsidR="008C5ED2" w:rsidRPr="003E271E">
        <w:t xml:space="preserve"> some support to attend conferences and a number of initiatives to showcase</w:t>
      </w:r>
      <w:r w:rsidR="008C5ED2" w:rsidRPr="000A3F70">
        <w:t xml:space="preserve"> research </w:t>
      </w:r>
      <w:r w:rsidR="00E74A21" w:rsidRPr="000A3F70">
        <w:t>outputs, such as the annual research day held in DBS. However there was</w:t>
      </w:r>
      <w:r w:rsidR="008C5ED2" w:rsidRPr="000A3F70">
        <w:t xml:space="preserve"> an absence of concrete supports for part-time</w:t>
      </w:r>
      <w:r w:rsidR="0058113D" w:rsidRPr="000A3F70">
        <w:t>,</w:t>
      </w:r>
      <w:r w:rsidR="008C5ED2" w:rsidRPr="000A3F70">
        <w:t xml:space="preserve"> early and mid-career academics to initiate or continue to develop their research ac</w:t>
      </w:r>
      <w:r w:rsidR="00E74A21" w:rsidRPr="000A3F70">
        <w:t>tivity and publication outputs. The panel found that this</w:t>
      </w:r>
      <w:r w:rsidR="008C5ED2" w:rsidRPr="000A3F70">
        <w:t xml:space="preserve"> has the potential to both negatively impact on course content and on the careers and expertise of academics.</w:t>
      </w:r>
    </w:p>
    <w:p w:rsidR="007C6464" w:rsidRPr="000A3F70" w:rsidRDefault="00ED2635" w:rsidP="00472A27">
      <w:r w:rsidRPr="000A3F70">
        <w:t>Recommendation</w:t>
      </w:r>
      <w:r w:rsidR="00E74A21" w:rsidRPr="000A3F70">
        <w:t xml:space="preserve"> 2</w:t>
      </w:r>
    </w:p>
    <w:p w:rsidR="003044A4" w:rsidRPr="000A3F70" w:rsidRDefault="00E74A21" w:rsidP="00472A27">
      <w:r w:rsidRPr="000A3F70">
        <w:t>A</w:t>
      </w:r>
      <w:r w:rsidR="00ED2635" w:rsidRPr="000A3F70">
        <w:t>ppropriate supports</w:t>
      </w:r>
      <w:r w:rsidRPr="000A3F70">
        <w:t xml:space="preserve"> are put in place</w:t>
      </w:r>
      <w:r w:rsidR="00ED2635" w:rsidRPr="000A3F70">
        <w:t xml:space="preserve"> for staff development in the area of research activity and outputs.</w:t>
      </w:r>
    </w:p>
    <w:p w:rsidR="00472A27" w:rsidRPr="000A3F70" w:rsidRDefault="00EF24D1" w:rsidP="005C0200">
      <w:pPr>
        <w:pStyle w:val="Heading2"/>
        <w:rPr>
          <w:rFonts w:eastAsia="Times New Roman"/>
          <w:color w:val="auto"/>
        </w:rPr>
      </w:pPr>
      <w:bookmarkStart w:id="65" w:name="_Toc431134558"/>
      <w:bookmarkStart w:id="66" w:name="_Toc479176635"/>
      <w:bookmarkStart w:id="67" w:name="_Toc479176722"/>
      <w:bookmarkStart w:id="68" w:name="_Toc513221609"/>
      <w:r w:rsidRPr="000A3F70">
        <w:rPr>
          <w:rFonts w:eastAsia="Times New Roman"/>
          <w:color w:val="auto"/>
        </w:rPr>
        <w:t>Criterion 7:</w:t>
      </w:r>
      <w:r w:rsidRPr="000A3F70">
        <w:rPr>
          <w:rFonts w:asciiTheme="minorHAnsi" w:eastAsiaTheme="minorHAnsi" w:hAnsiTheme="minorHAnsi" w:cstheme="minorBidi"/>
          <w:color w:val="auto"/>
          <w:sz w:val="22"/>
          <w:szCs w:val="22"/>
        </w:rPr>
        <w:t xml:space="preserve"> </w:t>
      </w:r>
      <w:r w:rsidR="00472A27" w:rsidRPr="000A3F70">
        <w:rPr>
          <w:rFonts w:eastAsia="Times New Roman"/>
          <w:color w:val="auto"/>
        </w:rPr>
        <w:t>There are sufficient physical resources</w:t>
      </w:r>
      <w:bookmarkEnd w:id="65"/>
      <w:r w:rsidR="00472A27" w:rsidRPr="000A3F70">
        <w:rPr>
          <w:rFonts w:eastAsia="Times New Roman"/>
          <w:color w:val="auto"/>
        </w:rPr>
        <w:t xml:space="preserve"> to implement the programme as planned</w:t>
      </w:r>
      <w:bookmarkEnd w:id="66"/>
      <w:bookmarkEnd w:id="67"/>
      <w:bookmarkEnd w:id="68"/>
    </w:p>
    <w:tbl>
      <w:tblPr>
        <w:tblStyle w:val="TableGrid"/>
        <w:tblW w:w="0" w:type="auto"/>
        <w:tblLook w:val="04A0" w:firstRow="1" w:lastRow="0" w:firstColumn="1" w:lastColumn="0" w:noHBand="0" w:noVBand="1"/>
      </w:tblPr>
      <w:tblGrid>
        <w:gridCol w:w="1197"/>
        <w:gridCol w:w="3466"/>
        <w:gridCol w:w="4353"/>
      </w:tblGrid>
      <w:tr w:rsidR="00472A27" w:rsidRPr="000A3F70" w:rsidTr="001C0F0B">
        <w:tc>
          <w:tcPr>
            <w:tcW w:w="1197" w:type="dxa"/>
            <w:shd w:val="clear" w:color="auto" w:fill="DEEAF6" w:themeFill="accent1" w:themeFillTint="33"/>
          </w:tcPr>
          <w:p w:rsidR="00472A27"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 xml:space="preserve">Satisfactory </w:t>
            </w:r>
          </w:p>
          <w:p w:rsidR="003044A4" w:rsidRPr="003E271E" w:rsidRDefault="003044A4" w:rsidP="001C0F0B">
            <w:pPr>
              <w:contextualSpacing/>
              <w:rPr>
                <w:rFonts w:ascii="Calibri" w:eastAsia="Times New Roman" w:hAnsi="Calibri" w:cs="Times New Roman"/>
                <w:b/>
                <w:sz w:val="20"/>
                <w:szCs w:val="20"/>
                <w:lang w:val="en-GB"/>
              </w:rPr>
            </w:pPr>
            <w:r w:rsidRPr="003E271E">
              <w:rPr>
                <w:rFonts w:ascii="Calibri" w:eastAsia="Times New Roman" w:hAnsi="Calibri" w:cs="Times New Roman"/>
                <w:b/>
                <w:sz w:val="20"/>
                <w:szCs w:val="20"/>
                <w:lang w:val="en-GB"/>
              </w:rPr>
              <w:t>Yes</w:t>
            </w:r>
          </w:p>
        </w:tc>
        <w:tc>
          <w:tcPr>
            <w:tcW w:w="3466"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353"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Sub-criteria</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3"/>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specification of the programme’s physical resource requirements (physical resources required as part of the programme and intrinsic to it) is precise, and rigorous and consistent with the programme, its defined purpose and its resource/learner-ratio requirements.</w:t>
            </w:r>
            <w:r w:rsidRPr="000A3F70">
              <w:rPr>
                <w:rFonts w:ascii="Calibri" w:eastAsia="Times New Roman" w:hAnsi="Calibri" w:cs="Times New Roman"/>
                <w:sz w:val="20"/>
                <w:szCs w:val="20"/>
              </w:rPr>
              <w:t xml:space="preserve"> See also (</w:t>
            </w:r>
            <w:r w:rsidR="00FC10F8">
              <w:fldChar w:fldCharType="begin"/>
            </w:r>
            <w:r w:rsidR="00FC10F8">
              <w:instrText xml:space="preserve"> REF _Ref436471190 \r \h  \* MERGEFORMAT </w:instrText>
            </w:r>
            <w:r w:rsidR="00FC10F8">
              <w:fldChar w:fldCharType="separate"/>
            </w:r>
            <w:r w:rsidR="00024768" w:rsidRPr="00024768">
              <w:rPr>
                <w:rFonts w:ascii="Calibri" w:eastAsia="Times New Roman" w:hAnsi="Calibri" w:cs="Times New Roman"/>
                <w:sz w:val="20"/>
                <w:szCs w:val="20"/>
              </w:rPr>
              <w:t>7.14</w:t>
            </w:r>
            <w:r w:rsidR="00FC10F8">
              <w:fldChar w:fldCharType="end"/>
            </w:r>
            <w:r w:rsidR="00FC10F8">
              <w:fldChar w:fldCharType="begin"/>
            </w:r>
            <w:r w:rsidR="00FC10F8">
              <w:instrText xml:space="preserve"> REF _Ref446082915 \r \h  \* MERGEFORMAT </w:instrText>
            </w:r>
            <w:r w:rsidR="00FC10F8">
              <w:fldChar w:fldCharType="separate"/>
            </w:r>
            <w:r w:rsidR="00024768" w:rsidRPr="00024768">
              <w:rPr>
                <w:rFonts w:ascii="Calibri" w:eastAsia="Times New Roman" w:hAnsi="Calibri" w:cs="Times New Roman"/>
                <w:sz w:val="20"/>
                <w:szCs w:val="20"/>
              </w:rPr>
              <w:t>d)</w:t>
            </w:r>
            <w:r w:rsidR="00FC10F8">
              <w:fldChar w:fldCharType="end"/>
            </w:r>
            <w:r w:rsidRPr="000A3F70">
              <w:rPr>
                <w:rFonts w:ascii="Calibri" w:eastAsia="Times New Roman" w:hAnsi="Calibri" w:cs="Times New Roman"/>
                <w:sz w:val="20"/>
                <w:szCs w:val="20"/>
              </w:rPr>
              <w:t>.</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3"/>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programme has an identified complement of supported physical resources (or potential supported physical resources) that are available in the context of existing commitments on these e.g. availability of:</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16"/>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suitable premises and accommodation for the learning and human needs (comfort, safety, health, wellbeing) of learners (this applies to all of the programme’s learning environments including the workplace learning environment)</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16"/>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suitable information technology and resources (including educational technology and any virtual learning environments provided)</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16"/>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printed and electronic material (including software) for teaching, learning and assessment </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16"/>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suitable specialist equipment (e.g. kitchen, laboratory, workshop, studio) – if applicable</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16"/>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technical support</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16"/>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administrative support </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16"/>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company placements/internships – if applicable</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3"/>
              </w:numPr>
              <w:spacing w:line="256" w:lineRule="auto"/>
              <w:ind w:left="714" w:hanging="357"/>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If versions of the programme are provided in parallel at more than one location each independently meets the location-sensitive validation criteria for each location (for example staffing, resources and the learning environment). </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3"/>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There is a five-year plan for the programme. It should address</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17"/>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Planned intake (first five years) and</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17"/>
              </w:numPr>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The total costs and income over the five years based on the planned intake.</w:t>
            </w:r>
          </w:p>
        </w:tc>
      </w:tr>
      <w:tr w:rsidR="00472A27" w:rsidRPr="000A3F70" w:rsidTr="001C0F0B">
        <w:tc>
          <w:tcPr>
            <w:tcW w:w="1197" w:type="dxa"/>
          </w:tcPr>
          <w:p w:rsidR="00472A27" w:rsidRPr="000A3F70" w:rsidRDefault="00472A27" w:rsidP="001C0F0B">
            <w:pPr>
              <w:rPr>
                <w:rFonts w:ascii="Calibri" w:eastAsia="Times New Roman" w:hAnsi="Calibri" w:cs="Times New Roman"/>
                <w:sz w:val="20"/>
                <w:szCs w:val="20"/>
                <w:lang w:val="en-GB"/>
              </w:rPr>
            </w:pPr>
          </w:p>
        </w:tc>
        <w:tc>
          <w:tcPr>
            <w:tcW w:w="3466" w:type="dxa"/>
            <w:shd w:val="clear" w:color="auto" w:fill="auto"/>
          </w:tcPr>
          <w:p w:rsidR="00472A27" w:rsidRPr="000A3F70" w:rsidRDefault="00472A27" w:rsidP="001C0F0B">
            <w:pPr>
              <w:rPr>
                <w:rFonts w:ascii="Calibri" w:eastAsia="Times New Roman" w:hAnsi="Calibri" w:cs="Times New Roman"/>
                <w:lang w:val="en-GB"/>
              </w:rPr>
            </w:pPr>
          </w:p>
        </w:tc>
        <w:tc>
          <w:tcPr>
            <w:tcW w:w="4353" w:type="dxa"/>
            <w:shd w:val="clear" w:color="auto" w:fill="DEEAF6" w:themeFill="accent1" w:themeFillTint="33"/>
          </w:tcPr>
          <w:p w:rsidR="00472A27" w:rsidRPr="000A3F70" w:rsidRDefault="00472A27" w:rsidP="00C90305">
            <w:pPr>
              <w:numPr>
                <w:ilvl w:val="0"/>
                <w:numId w:val="15"/>
              </w:numPr>
              <w:spacing w:line="256" w:lineRule="auto"/>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The programme includes controls to ensure entitlement to use the property (including intellectual property, premises, materials and equipment) required. </w:t>
            </w:r>
          </w:p>
        </w:tc>
      </w:tr>
    </w:tbl>
    <w:p w:rsidR="00B72910" w:rsidRPr="000A3F70" w:rsidRDefault="00B72910" w:rsidP="00B72910"/>
    <w:p w:rsidR="00B72910" w:rsidRPr="000A3F70" w:rsidRDefault="00B72910" w:rsidP="00B72910">
      <w:r w:rsidRPr="000A3F70">
        <w:t>The panel noted that a five year plan had been provided for each of the programmes under review.</w:t>
      </w:r>
    </w:p>
    <w:p w:rsidR="005B3AA2" w:rsidRPr="009C7C20" w:rsidRDefault="00B72910" w:rsidP="00E955F1">
      <w:r w:rsidRPr="003E271E">
        <w:t>A tour of the physical facilities in the Aungier St and Castle House Campuses was undertaken</w:t>
      </w:r>
      <w:r w:rsidR="004265F3">
        <w:t xml:space="preserve">. </w:t>
      </w:r>
      <w:r w:rsidR="004265F3" w:rsidRPr="009C7C20">
        <w:t>T</w:t>
      </w:r>
      <w:r w:rsidR="005B3AA2" w:rsidRPr="009C7C20">
        <w:t>he on-going development and upgrading of common meeting and study areas throughout the campus to facilitate gr</w:t>
      </w:r>
      <w:r w:rsidR="004265F3" w:rsidRPr="009C7C20">
        <w:t>oup work and peer study support was acknowledged</w:t>
      </w:r>
      <w:r w:rsidR="00A47DF0" w:rsidRPr="009C7C20">
        <w:t>.</w:t>
      </w:r>
    </w:p>
    <w:p w:rsidR="00594CE5" w:rsidRPr="003E271E" w:rsidRDefault="00B72910" w:rsidP="00E955F1">
      <w:r w:rsidRPr="000A3F70">
        <w:t xml:space="preserve"> The library facilities were viewed by the panel. It was noted that the facilities deploy a wide range of technology resources to support learners and staff, including access to an assignment planner, a Kindle lending facilities, a registrar of scholarly activity as well as a user-friendly search engine to enable ease of search for books and academic journals. It was noted that specialist library staff are employed to assist students to develop their research capabilities</w:t>
      </w:r>
      <w:r w:rsidRPr="00E955F1">
        <w:rPr>
          <w:color w:val="C00000"/>
        </w:rPr>
        <w:t xml:space="preserve">. </w:t>
      </w:r>
      <w:r w:rsidRPr="003E271E">
        <w:t>The library is engaged in publishi</w:t>
      </w:r>
      <w:r w:rsidR="00E955F1" w:rsidRPr="003E271E">
        <w:t>ng the DBS journals for the School of Arts and the School of Business</w:t>
      </w:r>
      <w:r w:rsidRPr="003E271E">
        <w:t>, featuring peer-reviewed research by both staff and students. This is in line with a core pillar of DBS’s strategy on achieving academic excellence. It was noted that this facility won a Best Library Team award in the Education Awards 2017.</w:t>
      </w:r>
    </w:p>
    <w:p w:rsidR="00DC25B1" w:rsidRPr="003E271E" w:rsidRDefault="00DC25B1" w:rsidP="00472A27">
      <w:pPr>
        <w:pStyle w:val="NoSpacing"/>
      </w:pPr>
      <w:r w:rsidRPr="003E271E">
        <w:t>Commendation 1</w:t>
      </w:r>
    </w:p>
    <w:p w:rsidR="00594CE5" w:rsidRPr="003E271E" w:rsidRDefault="00DC25B1" w:rsidP="00472A27">
      <w:pPr>
        <w:pStyle w:val="NoSpacing"/>
      </w:pPr>
      <w:r w:rsidRPr="003E271E">
        <w:t>The panel</w:t>
      </w:r>
      <w:r w:rsidR="00594CE5" w:rsidRPr="003E271E">
        <w:t xml:space="preserve"> commend</w:t>
      </w:r>
      <w:r w:rsidR="00100981" w:rsidRPr="003E271E">
        <w:t>s</w:t>
      </w:r>
      <w:r w:rsidR="00B72910" w:rsidRPr="003E271E">
        <w:t xml:space="preserve"> the proactive leadership being</w:t>
      </w:r>
      <w:r w:rsidR="00594CE5" w:rsidRPr="003E271E">
        <w:t xml:space="preserve"> shown by </w:t>
      </w:r>
      <w:r w:rsidR="00E955F1" w:rsidRPr="003E271E">
        <w:t xml:space="preserve">the </w:t>
      </w:r>
      <w:r w:rsidR="005B3AA2" w:rsidRPr="003E271E">
        <w:t>Head Librarian</w:t>
      </w:r>
      <w:r w:rsidR="002A4155" w:rsidRPr="003E271E">
        <w:t xml:space="preserve"> as well as the on</w:t>
      </w:r>
      <w:r w:rsidR="00594CE5" w:rsidRPr="003E271E">
        <w:t>going development of the library facilities for students and staff.</w:t>
      </w:r>
    </w:p>
    <w:p w:rsidR="00E955F1" w:rsidRPr="000A3F70" w:rsidRDefault="00E955F1" w:rsidP="00472A27">
      <w:pPr>
        <w:pStyle w:val="NoSpacing"/>
      </w:pPr>
    </w:p>
    <w:p w:rsidR="00645B53" w:rsidRPr="000A3F70" w:rsidRDefault="00645B53" w:rsidP="00472A27"/>
    <w:p w:rsidR="00472A27" w:rsidRPr="000A3F70" w:rsidRDefault="00EF24D1" w:rsidP="00EF24D1">
      <w:pPr>
        <w:pStyle w:val="Heading2"/>
        <w:rPr>
          <w:rFonts w:eastAsia="Times New Roman"/>
          <w:color w:val="auto"/>
        </w:rPr>
      </w:pPr>
      <w:bookmarkStart w:id="69" w:name="_Toc431134559"/>
      <w:bookmarkStart w:id="70" w:name="_Toc479176639"/>
      <w:bookmarkStart w:id="71" w:name="_Toc479176726"/>
      <w:bookmarkStart w:id="72" w:name="_Toc513221610"/>
      <w:r w:rsidRPr="000A3F70">
        <w:rPr>
          <w:rFonts w:eastAsia="Times New Roman"/>
          <w:color w:val="auto"/>
        </w:rPr>
        <w:t xml:space="preserve">Criterion 8: </w:t>
      </w:r>
      <w:r w:rsidR="00472A27" w:rsidRPr="000A3F70">
        <w:rPr>
          <w:rFonts w:eastAsia="Times New Roman"/>
          <w:color w:val="auto"/>
        </w:rPr>
        <w:t>The learning environment</w:t>
      </w:r>
      <w:bookmarkEnd w:id="69"/>
      <w:r w:rsidR="00472A27" w:rsidRPr="000A3F70">
        <w:rPr>
          <w:rFonts w:eastAsia="Times New Roman"/>
          <w:color w:val="auto"/>
        </w:rPr>
        <w:t xml:space="preserve"> is consistent with the needs of the programme’s learners</w:t>
      </w:r>
      <w:bookmarkEnd w:id="70"/>
      <w:bookmarkEnd w:id="71"/>
      <w:bookmarkEnd w:id="72"/>
      <w:r w:rsidR="00472A27" w:rsidRPr="000A3F70">
        <w:rPr>
          <w:rFonts w:eastAsia="Times New Roman"/>
          <w:color w:val="auto"/>
        </w:rPr>
        <w:t xml:space="preserve"> </w:t>
      </w:r>
    </w:p>
    <w:tbl>
      <w:tblPr>
        <w:tblStyle w:val="TableGrid"/>
        <w:tblW w:w="0" w:type="auto"/>
        <w:tblInd w:w="-5" w:type="dxa"/>
        <w:tblLook w:val="04A0" w:firstRow="1" w:lastRow="0" w:firstColumn="1" w:lastColumn="0" w:noHBand="0" w:noVBand="1"/>
      </w:tblPr>
      <w:tblGrid>
        <w:gridCol w:w="1196"/>
        <w:gridCol w:w="3469"/>
        <w:gridCol w:w="4356"/>
      </w:tblGrid>
      <w:tr w:rsidR="00472A27" w:rsidRPr="000A3F70" w:rsidTr="001C0F0B">
        <w:tc>
          <w:tcPr>
            <w:tcW w:w="1196" w:type="dxa"/>
            <w:shd w:val="clear" w:color="auto" w:fill="DEEAF6" w:themeFill="accent1" w:themeFillTint="33"/>
          </w:tcPr>
          <w:p w:rsidR="00472A27"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 xml:space="preserve">Satisfactory </w:t>
            </w:r>
          </w:p>
          <w:p w:rsidR="005B3AA2" w:rsidRPr="003E271E" w:rsidRDefault="005B3AA2" w:rsidP="001C0F0B">
            <w:pPr>
              <w:contextualSpacing/>
              <w:rPr>
                <w:rFonts w:ascii="Calibri" w:eastAsia="Times New Roman" w:hAnsi="Calibri" w:cs="Times New Roman"/>
                <w:b/>
                <w:sz w:val="20"/>
                <w:szCs w:val="20"/>
                <w:lang w:val="en-GB"/>
              </w:rPr>
            </w:pPr>
            <w:r w:rsidRPr="003E271E">
              <w:rPr>
                <w:rFonts w:ascii="Calibri" w:eastAsia="Times New Roman" w:hAnsi="Calibri" w:cs="Times New Roman"/>
                <w:b/>
                <w:sz w:val="20"/>
                <w:szCs w:val="20"/>
                <w:lang w:val="en-GB"/>
              </w:rPr>
              <w:t>Yes</w:t>
            </w:r>
          </w:p>
        </w:tc>
        <w:tc>
          <w:tcPr>
            <w:tcW w:w="3469"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356"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Sub-criteria</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rPr>
            </w:pPr>
          </w:p>
        </w:tc>
        <w:tc>
          <w:tcPr>
            <w:tcW w:w="3469" w:type="dxa"/>
            <w:shd w:val="clear" w:color="auto" w:fill="auto"/>
          </w:tcPr>
          <w:p w:rsidR="00472A27" w:rsidRPr="000A3F70" w:rsidRDefault="00472A27" w:rsidP="001C0F0B">
            <w:pPr>
              <w:rPr>
                <w:rFonts w:ascii="Calibri" w:eastAsia="Times New Roman" w:hAnsi="Calibri" w:cs="Times New Roman"/>
              </w:rPr>
            </w:pPr>
          </w:p>
        </w:tc>
        <w:tc>
          <w:tcPr>
            <w:tcW w:w="4356" w:type="dxa"/>
            <w:shd w:val="clear" w:color="auto" w:fill="DEEAF6" w:themeFill="accent1" w:themeFillTint="33"/>
          </w:tcPr>
          <w:p w:rsidR="00472A27" w:rsidRPr="000A3F70" w:rsidRDefault="00472A27" w:rsidP="00C90305">
            <w:pPr>
              <w:numPr>
                <w:ilvl w:val="0"/>
                <w:numId w:val="8"/>
              </w:numPr>
              <w:ind w:left="714" w:hanging="357"/>
              <w:contextualSpacing/>
              <w:rPr>
                <w:rFonts w:ascii="Calibri" w:eastAsia="Times New Roman" w:hAnsi="Calibri" w:cs="Times New Roman"/>
                <w:sz w:val="20"/>
                <w:szCs w:val="20"/>
              </w:rPr>
            </w:pPr>
            <w:r w:rsidRPr="000A3F70">
              <w:rPr>
                <w:rFonts w:ascii="Calibri" w:eastAsia="Times New Roman" w:hAnsi="Calibri" w:cs="Times New Roman"/>
                <w:sz w:val="20"/>
                <w:szCs w:val="20"/>
              </w:rPr>
              <w:t>The programme’s physical, social, cultural and intellectual environment (recognising that the environment may, for example, be partly virtual or involve the workplace) including resources and support systems are consistent with the intended programme learning outcomes.</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rPr>
            </w:pPr>
          </w:p>
        </w:tc>
        <w:tc>
          <w:tcPr>
            <w:tcW w:w="3469" w:type="dxa"/>
            <w:shd w:val="clear" w:color="auto" w:fill="auto"/>
          </w:tcPr>
          <w:p w:rsidR="00472A27" w:rsidRPr="000A3F70" w:rsidRDefault="00472A27" w:rsidP="001C0F0B">
            <w:pPr>
              <w:rPr>
                <w:rFonts w:ascii="Calibri" w:eastAsia="Times New Roman" w:hAnsi="Calibri" w:cs="Times New Roman"/>
                <w:lang w:val="en-GB"/>
              </w:rPr>
            </w:pPr>
          </w:p>
        </w:tc>
        <w:tc>
          <w:tcPr>
            <w:tcW w:w="4356" w:type="dxa"/>
            <w:shd w:val="clear" w:color="auto" w:fill="DEEAF6" w:themeFill="accent1" w:themeFillTint="33"/>
          </w:tcPr>
          <w:p w:rsidR="00472A27" w:rsidRPr="000A3F70" w:rsidRDefault="00472A27" w:rsidP="00C90305">
            <w:pPr>
              <w:numPr>
                <w:ilvl w:val="0"/>
                <w:numId w:val="8"/>
              </w:numPr>
              <w:ind w:left="714" w:hanging="357"/>
              <w:contextualSpacing/>
              <w:rPr>
                <w:rFonts w:ascii="Calibri" w:eastAsia="Times New Roman" w:hAnsi="Calibri" w:cs="Times New Roman"/>
                <w:sz w:val="20"/>
                <w:szCs w:val="20"/>
                <w:lang w:val="en-GB"/>
              </w:rPr>
            </w:pPr>
            <w:r w:rsidRPr="000A3F70">
              <w:rPr>
                <w:rFonts w:ascii="Calibri" w:eastAsia="Times New Roman" w:hAnsi="Calibri" w:cs="Times New Roman"/>
                <w:sz w:val="20"/>
                <w:szCs w:val="20"/>
                <w:lang w:val="en-GB"/>
              </w:rPr>
              <w:t xml:space="preserve">Learners can interact with, and are supported by, others in the programme’s learning environments including peer learners, teachers, and where applicable supervisors, practitioners and mentors.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rPr>
            </w:pPr>
          </w:p>
        </w:tc>
        <w:tc>
          <w:tcPr>
            <w:tcW w:w="3469" w:type="dxa"/>
            <w:shd w:val="clear" w:color="auto" w:fill="auto"/>
          </w:tcPr>
          <w:p w:rsidR="00472A27" w:rsidRPr="000A3F70" w:rsidRDefault="00472A27" w:rsidP="001C0F0B">
            <w:pPr>
              <w:rPr>
                <w:rFonts w:ascii="Calibri" w:eastAsia="Times New Roman" w:hAnsi="Calibri" w:cs="Times New Roman"/>
              </w:rPr>
            </w:pPr>
          </w:p>
        </w:tc>
        <w:tc>
          <w:tcPr>
            <w:tcW w:w="4356" w:type="dxa"/>
            <w:shd w:val="clear" w:color="auto" w:fill="DEEAF6" w:themeFill="accent1" w:themeFillTint="33"/>
          </w:tcPr>
          <w:p w:rsidR="00472A27" w:rsidRPr="000A3F70" w:rsidRDefault="00472A27" w:rsidP="00C90305">
            <w:pPr>
              <w:numPr>
                <w:ilvl w:val="0"/>
                <w:numId w:val="8"/>
              </w:numPr>
              <w:spacing w:line="256" w:lineRule="auto"/>
              <w:contextualSpacing/>
              <w:rPr>
                <w:rFonts w:ascii="Calibri" w:eastAsia="Times New Roman" w:hAnsi="Calibri" w:cs="Times New Roman"/>
                <w:sz w:val="20"/>
                <w:szCs w:val="20"/>
              </w:rPr>
            </w:pPr>
            <w:r w:rsidRPr="000A3F70">
              <w:rPr>
                <w:rFonts w:ascii="Calibri" w:eastAsia="Times New Roman" w:hAnsi="Calibri" w:cs="Times New Roman"/>
                <w:sz w:val="20"/>
                <w:szCs w:val="20"/>
              </w:rPr>
              <w:t xml:space="preserve">The programme includes arrangements to ensure that the parts of the programme that occur in the workplace are subject to the same rigours as any other part of the programme while having regard to the different nature of the workplace.  </w:t>
            </w:r>
          </w:p>
        </w:tc>
      </w:tr>
    </w:tbl>
    <w:p w:rsidR="00F1455B" w:rsidRDefault="00F1455B" w:rsidP="00634D06"/>
    <w:p w:rsidR="00F1455B" w:rsidRPr="003E271E" w:rsidRDefault="00F1455B" w:rsidP="00634D06">
      <w:r w:rsidRPr="003E271E">
        <w:t xml:space="preserve">A description of the learning environment in place to support students is provided in Section 3.5 of this report. In relation to the clinical practice component for the MA in Psychoanalytic Psychotherapy, the panel was satisfied that these arrangements are subject to the same rigorous approach as the other aspects of the programme. </w:t>
      </w:r>
    </w:p>
    <w:p w:rsidR="00634D06" w:rsidRPr="000A3F70" w:rsidRDefault="00634D06" w:rsidP="00634D06">
      <w:r w:rsidRPr="000A3F70">
        <w:t>The panel was advised that DBS uses a number of mechanisms to develop and implement supports for students including:</w:t>
      </w:r>
    </w:p>
    <w:p w:rsidR="00634D06" w:rsidRPr="000A3F70" w:rsidRDefault="00634D06" w:rsidP="00C90305">
      <w:pPr>
        <w:pStyle w:val="ListParagraph"/>
        <w:numPr>
          <w:ilvl w:val="0"/>
          <w:numId w:val="36"/>
        </w:numPr>
      </w:pPr>
      <w:r w:rsidRPr="000A3F70">
        <w:t>Learner surveys</w:t>
      </w:r>
    </w:p>
    <w:p w:rsidR="00634D06" w:rsidRPr="000A3F70" w:rsidRDefault="00634D06" w:rsidP="00C90305">
      <w:pPr>
        <w:pStyle w:val="ListParagraph"/>
        <w:numPr>
          <w:ilvl w:val="0"/>
          <w:numId w:val="36"/>
        </w:numPr>
      </w:pPr>
      <w:r w:rsidRPr="000A3F70">
        <w:t>Peer Mentoring Support (with training provided for mentors)</w:t>
      </w:r>
    </w:p>
    <w:p w:rsidR="00634D06" w:rsidRPr="000A3F70" w:rsidRDefault="00634D06" w:rsidP="00C90305">
      <w:pPr>
        <w:pStyle w:val="ListParagraph"/>
        <w:numPr>
          <w:ilvl w:val="0"/>
          <w:numId w:val="36"/>
        </w:numPr>
      </w:pPr>
      <w:r w:rsidRPr="000A3F70">
        <w:t>Student representation on the Academic Board and Board of Studies</w:t>
      </w:r>
    </w:p>
    <w:p w:rsidR="00634D06" w:rsidRPr="000A3F70" w:rsidRDefault="00634D06" w:rsidP="00C90305">
      <w:pPr>
        <w:pStyle w:val="ListParagraph"/>
        <w:numPr>
          <w:ilvl w:val="0"/>
          <w:numId w:val="36"/>
        </w:numPr>
      </w:pPr>
      <w:r w:rsidRPr="000A3F70">
        <w:t>Support for, and engagement with,  an elected Student Union</w:t>
      </w:r>
    </w:p>
    <w:p w:rsidR="00634D06" w:rsidRPr="000A3F70" w:rsidRDefault="00634D06" w:rsidP="00C90305">
      <w:pPr>
        <w:pStyle w:val="ListParagraph"/>
        <w:numPr>
          <w:ilvl w:val="0"/>
          <w:numId w:val="36"/>
        </w:numPr>
      </w:pPr>
      <w:r w:rsidRPr="000A3F70">
        <w:t>Student services for:</w:t>
      </w:r>
    </w:p>
    <w:p w:rsidR="00634D06" w:rsidRPr="000A3F70" w:rsidRDefault="00634D06" w:rsidP="00C90305">
      <w:pPr>
        <w:pStyle w:val="ListParagraph"/>
        <w:numPr>
          <w:ilvl w:val="1"/>
          <w:numId w:val="36"/>
        </w:numPr>
      </w:pPr>
      <w:r w:rsidRPr="000A3F70">
        <w:t>Accommodation</w:t>
      </w:r>
    </w:p>
    <w:p w:rsidR="00634D06" w:rsidRPr="000A3F70" w:rsidRDefault="00634D06" w:rsidP="00C90305">
      <w:pPr>
        <w:pStyle w:val="ListParagraph"/>
        <w:numPr>
          <w:ilvl w:val="1"/>
          <w:numId w:val="36"/>
        </w:numPr>
      </w:pPr>
      <w:r w:rsidRPr="000A3F70">
        <w:t>Counselling and referral services, including specific contact with the provider of mental health for young people,</w:t>
      </w:r>
      <w:r w:rsidRPr="000A3F70">
        <w:rPr>
          <w:i/>
        </w:rPr>
        <w:t xml:space="preserve"> Jigsaw</w:t>
      </w:r>
    </w:p>
    <w:p w:rsidR="00634D06" w:rsidRPr="000A3F70" w:rsidRDefault="00634D06" w:rsidP="00C90305">
      <w:pPr>
        <w:pStyle w:val="ListParagraph"/>
        <w:numPr>
          <w:ilvl w:val="1"/>
          <w:numId w:val="36"/>
        </w:numPr>
      </w:pPr>
      <w:r w:rsidRPr="000A3F70">
        <w:t>Sports and societies, with many student-led events</w:t>
      </w:r>
    </w:p>
    <w:p w:rsidR="00634D06" w:rsidRPr="000A3F70" w:rsidRDefault="00634D06" w:rsidP="00C90305">
      <w:pPr>
        <w:pStyle w:val="ListParagraph"/>
        <w:numPr>
          <w:ilvl w:val="1"/>
          <w:numId w:val="36"/>
        </w:numPr>
      </w:pPr>
      <w:r w:rsidRPr="000A3F70">
        <w:t>Entertainment</w:t>
      </w:r>
    </w:p>
    <w:p w:rsidR="00634D06" w:rsidRPr="000A3F70" w:rsidRDefault="00634D06" w:rsidP="00C90305">
      <w:pPr>
        <w:pStyle w:val="ListParagraph"/>
        <w:numPr>
          <w:ilvl w:val="1"/>
          <w:numId w:val="36"/>
        </w:numPr>
      </w:pPr>
      <w:r w:rsidRPr="000A3F70">
        <w:t>Study and meeting spaces within the campus</w:t>
      </w:r>
    </w:p>
    <w:p w:rsidR="00634D06" w:rsidRPr="000A3F70" w:rsidRDefault="00634D06" w:rsidP="00634D06">
      <w:r w:rsidRPr="000A3F70">
        <w:t xml:space="preserve">The panel concluded that the staff with responsibility for support services were proactive in responding to student feedback for improvements in facilities which was undertaken on a continuous basis.  It was noted that this section of DBS received an Education Awards 2017 for Best Student Engagement. </w:t>
      </w:r>
    </w:p>
    <w:p w:rsidR="00472A27" w:rsidRPr="000A3F70" w:rsidRDefault="00472A27" w:rsidP="00472A27"/>
    <w:p w:rsidR="00472A27" w:rsidRPr="000A3F70" w:rsidRDefault="00EF24D1" w:rsidP="00EF24D1">
      <w:pPr>
        <w:pStyle w:val="Heading2"/>
        <w:rPr>
          <w:rFonts w:eastAsia="Times New Roman"/>
          <w:color w:val="auto"/>
        </w:rPr>
      </w:pPr>
      <w:bookmarkStart w:id="73" w:name="_Toc479176643"/>
      <w:bookmarkStart w:id="74" w:name="_Toc479176730"/>
      <w:bookmarkStart w:id="75" w:name="_Toc431134560"/>
      <w:r w:rsidRPr="000A3F70">
        <w:rPr>
          <w:rFonts w:eastAsia="Times New Roman"/>
          <w:color w:val="auto"/>
        </w:rPr>
        <w:t xml:space="preserve"> </w:t>
      </w:r>
      <w:bookmarkStart w:id="76" w:name="_Toc513221611"/>
      <w:r w:rsidRPr="000A3F70">
        <w:rPr>
          <w:rFonts w:eastAsia="Times New Roman"/>
          <w:color w:val="auto"/>
        </w:rPr>
        <w:t xml:space="preserve">Criterion 9: </w:t>
      </w:r>
      <w:r w:rsidR="00472A27" w:rsidRPr="000A3F70">
        <w:rPr>
          <w:rFonts w:eastAsia="Times New Roman"/>
          <w:color w:val="auto"/>
        </w:rPr>
        <w:t>There are sound teaching and learning strategies</w:t>
      </w:r>
      <w:bookmarkEnd w:id="73"/>
      <w:bookmarkEnd w:id="74"/>
      <w:bookmarkEnd w:id="76"/>
      <w:r w:rsidR="00472A27" w:rsidRPr="000A3F70">
        <w:rPr>
          <w:rFonts w:eastAsia="Times New Roman"/>
          <w:color w:val="auto"/>
        </w:rPr>
        <w:t xml:space="preserve"> </w:t>
      </w:r>
      <w:bookmarkEnd w:id="75"/>
    </w:p>
    <w:tbl>
      <w:tblPr>
        <w:tblStyle w:val="TableGrid"/>
        <w:tblW w:w="0" w:type="auto"/>
        <w:tblInd w:w="-5" w:type="dxa"/>
        <w:tblLook w:val="04A0" w:firstRow="1" w:lastRow="0" w:firstColumn="1" w:lastColumn="0" w:noHBand="0" w:noVBand="1"/>
      </w:tblPr>
      <w:tblGrid>
        <w:gridCol w:w="1196"/>
        <w:gridCol w:w="3468"/>
        <w:gridCol w:w="4357"/>
      </w:tblGrid>
      <w:tr w:rsidR="00472A27" w:rsidRPr="000A3F70" w:rsidTr="001C0F0B">
        <w:tc>
          <w:tcPr>
            <w:tcW w:w="1196" w:type="dxa"/>
            <w:shd w:val="clear" w:color="auto" w:fill="DEEAF6" w:themeFill="accent1" w:themeFillTint="33"/>
          </w:tcPr>
          <w:p w:rsidR="00472A27"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 xml:space="preserve">Satisfactory </w:t>
            </w:r>
          </w:p>
          <w:p w:rsidR="00100981" w:rsidRPr="0005598B" w:rsidRDefault="00100981" w:rsidP="001C0F0B">
            <w:pPr>
              <w:contextualSpacing/>
              <w:rPr>
                <w:rFonts w:ascii="Calibri" w:eastAsia="Times New Roman" w:hAnsi="Calibri" w:cs="Times New Roman"/>
                <w:b/>
                <w:sz w:val="20"/>
                <w:szCs w:val="20"/>
                <w:lang w:val="en-GB"/>
              </w:rPr>
            </w:pPr>
            <w:r w:rsidRPr="0005598B">
              <w:rPr>
                <w:rFonts w:ascii="Calibri" w:eastAsia="Times New Roman" w:hAnsi="Calibri" w:cs="Times New Roman"/>
                <w:b/>
                <w:sz w:val="20"/>
                <w:szCs w:val="20"/>
                <w:lang w:val="en-GB"/>
              </w:rPr>
              <w:t>Yes</w:t>
            </w:r>
          </w:p>
        </w:tc>
        <w:tc>
          <w:tcPr>
            <w:tcW w:w="3468"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357"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Sub-criteria</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68" w:type="dxa"/>
            <w:shd w:val="clear" w:color="auto" w:fill="auto"/>
          </w:tcPr>
          <w:p w:rsidR="00472A27" w:rsidRPr="000A3F70" w:rsidRDefault="00472A27" w:rsidP="001C0F0B">
            <w:pPr>
              <w:rPr>
                <w:rFonts w:ascii="Calibri" w:eastAsia="Times New Roman" w:hAnsi="Calibri" w:cs="Times New Roman"/>
                <w:lang w:val="en-GB" w:eastAsia="en-GB"/>
              </w:rPr>
            </w:pPr>
          </w:p>
        </w:tc>
        <w:tc>
          <w:tcPr>
            <w:tcW w:w="4357" w:type="dxa"/>
            <w:shd w:val="clear" w:color="auto" w:fill="DEEAF6" w:themeFill="accent1" w:themeFillTint="33"/>
          </w:tcPr>
          <w:p w:rsidR="00472A27" w:rsidRPr="000A3F70" w:rsidRDefault="00472A27" w:rsidP="00C90305">
            <w:pPr>
              <w:numPr>
                <w:ilvl w:val="0"/>
                <w:numId w:val="9"/>
              </w:numPr>
              <w:spacing w:line="256" w:lineRule="auto"/>
              <w:contextualSpacing/>
              <w:rPr>
                <w:rFonts w:ascii="Calibri" w:eastAsia="Calibri" w:hAnsi="Calibri" w:cs="Times New Roman"/>
                <w:sz w:val="20"/>
                <w:szCs w:val="20"/>
                <w:lang w:val="en-GB" w:eastAsia="en-GB"/>
              </w:rPr>
            </w:pPr>
            <w:r w:rsidRPr="000A3F70">
              <w:rPr>
                <w:rFonts w:ascii="Calibri" w:eastAsia="Times New Roman" w:hAnsi="Calibri" w:cs="Times New Roman"/>
                <w:sz w:val="20"/>
                <w:szCs w:val="20"/>
                <w:lang w:val="en-GB" w:eastAsia="en-GB"/>
              </w:rPr>
              <w:t>The</w:t>
            </w:r>
            <w:r w:rsidRPr="000A3F70">
              <w:rPr>
                <w:rFonts w:ascii="Calibri" w:eastAsia="Calibri" w:hAnsi="Calibri" w:cs="Times New Roman"/>
                <w:sz w:val="20"/>
                <w:szCs w:val="20"/>
                <w:lang w:val="en-GB" w:eastAsia="en-GB"/>
              </w:rPr>
              <w:t xml:space="preserve"> </w:t>
            </w:r>
            <w:r w:rsidRPr="000A3F70">
              <w:rPr>
                <w:rFonts w:ascii="Calibri" w:eastAsia="Times New Roman" w:hAnsi="Calibri" w:cs="Times New Roman"/>
                <w:sz w:val="20"/>
                <w:szCs w:val="20"/>
                <w:lang w:val="en-GB" w:eastAsia="en-GB"/>
              </w:rPr>
              <w:t>teaching strategies</w:t>
            </w:r>
            <w:r w:rsidRPr="000A3F70">
              <w:rPr>
                <w:rFonts w:ascii="Calibri" w:eastAsia="Calibri" w:hAnsi="Calibri" w:cs="Times New Roman"/>
                <w:sz w:val="20"/>
                <w:szCs w:val="20"/>
                <w:lang w:val="en-GB" w:eastAsia="en-GB"/>
              </w:rPr>
              <w:t xml:space="preserve"> support achievement of the </w:t>
            </w:r>
            <w:r w:rsidRPr="000A3F70">
              <w:rPr>
                <w:rFonts w:ascii="Calibri" w:eastAsia="Times New Roman" w:hAnsi="Calibri" w:cs="Times New Roman"/>
                <w:sz w:val="20"/>
                <w:szCs w:val="20"/>
                <w:lang w:val="en-GB" w:eastAsia="en-GB"/>
              </w:rPr>
              <w:t>intended programme/module learning outcomes.</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68" w:type="dxa"/>
            <w:shd w:val="clear" w:color="auto" w:fill="auto"/>
          </w:tcPr>
          <w:p w:rsidR="00472A27" w:rsidRPr="000A3F70" w:rsidRDefault="00472A27" w:rsidP="001C0F0B">
            <w:pPr>
              <w:rPr>
                <w:rFonts w:ascii="Calibri" w:eastAsia="Times New Roman" w:hAnsi="Calibri" w:cs="Times New Roman"/>
                <w:lang w:val="en-GB" w:eastAsia="en-GB"/>
              </w:rPr>
            </w:pPr>
          </w:p>
        </w:tc>
        <w:tc>
          <w:tcPr>
            <w:tcW w:w="4357" w:type="dxa"/>
            <w:shd w:val="clear" w:color="auto" w:fill="DEEAF6" w:themeFill="accent1" w:themeFillTint="33"/>
          </w:tcPr>
          <w:p w:rsidR="00472A27" w:rsidRPr="000A3F70" w:rsidRDefault="00472A27" w:rsidP="00C90305">
            <w:pPr>
              <w:numPr>
                <w:ilvl w:val="0"/>
                <w:numId w:val="9"/>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 xml:space="preserve">The programme provides authentic learning opportunities to enable learners to achieve the intended programme learning outcomes.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68" w:type="dxa"/>
            <w:shd w:val="clear" w:color="auto" w:fill="auto"/>
          </w:tcPr>
          <w:p w:rsidR="00472A27" w:rsidRPr="000A3F70" w:rsidRDefault="00472A27" w:rsidP="001C0F0B">
            <w:pPr>
              <w:rPr>
                <w:rFonts w:ascii="Calibri" w:eastAsia="Times New Roman" w:hAnsi="Calibri" w:cs="Times New Roman"/>
                <w:lang w:val="en-GB" w:eastAsia="en-GB"/>
              </w:rPr>
            </w:pPr>
          </w:p>
        </w:tc>
        <w:tc>
          <w:tcPr>
            <w:tcW w:w="4357" w:type="dxa"/>
            <w:shd w:val="clear" w:color="auto" w:fill="DEEAF6" w:themeFill="accent1" w:themeFillTint="33"/>
          </w:tcPr>
          <w:p w:rsidR="00472A27" w:rsidRPr="000A3F70" w:rsidRDefault="00472A27" w:rsidP="00C90305">
            <w:pPr>
              <w:numPr>
                <w:ilvl w:val="0"/>
                <w:numId w:val="9"/>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68" w:type="dxa"/>
            <w:shd w:val="clear" w:color="auto" w:fill="auto"/>
          </w:tcPr>
          <w:p w:rsidR="00472A27" w:rsidRPr="000A3F70" w:rsidRDefault="00472A27" w:rsidP="001C0F0B">
            <w:pPr>
              <w:rPr>
                <w:rFonts w:ascii="Calibri" w:eastAsia="Times New Roman" w:hAnsi="Calibri" w:cs="Times New Roman"/>
                <w:lang w:val="en-GB" w:eastAsia="en-GB"/>
              </w:rPr>
            </w:pPr>
          </w:p>
        </w:tc>
        <w:tc>
          <w:tcPr>
            <w:tcW w:w="4357" w:type="dxa"/>
            <w:shd w:val="clear" w:color="auto" w:fill="DEEAF6" w:themeFill="accent1" w:themeFillTint="33"/>
          </w:tcPr>
          <w:p w:rsidR="00472A27" w:rsidRPr="000A3F70" w:rsidRDefault="00472A27" w:rsidP="00C90305">
            <w:pPr>
              <w:numPr>
                <w:ilvl w:val="0"/>
                <w:numId w:val="9"/>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Learning is monitored/supervised.</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68" w:type="dxa"/>
            <w:shd w:val="clear" w:color="auto" w:fill="auto"/>
          </w:tcPr>
          <w:p w:rsidR="00472A27" w:rsidRPr="000A3F70" w:rsidRDefault="00472A27" w:rsidP="001C0F0B">
            <w:pPr>
              <w:rPr>
                <w:rFonts w:ascii="Calibri" w:eastAsia="Times New Roman" w:hAnsi="Calibri" w:cs="Times New Roman"/>
                <w:lang w:val="en-GB" w:eastAsia="en-GB"/>
              </w:rPr>
            </w:pPr>
          </w:p>
        </w:tc>
        <w:tc>
          <w:tcPr>
            <w:tcW w:w="4357" w:type="dxa"/>
            <w:shd w:val="clear" w:color="auto" w:fill="DEEAF6" w:themeFill="accent1" w:themeFillTint="33"/>
          </w:tcPr>
          <w:p w:rsidR="00472A27" w:rsidRPr="000A3F70" w:rsidRDefault="00472A27" w:rsidP="00C90305">
            <w:pPr>
              <w:numPr>
                <w:ilvl w:val="0"/>
                <w:numId w:val="9"/>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Individualised guidance, support</w:t>
            </w:r>
            <w:r w:rsidRPr="000A3F70">
              <w:rPr>
                <w:rFonts w:ascii="Calibri" w:eastAsia="Times New Roman" w:hAnsi="Calibri" w:cs="Times New Roman"/>
                <w:sz w:val="20"/>
                <w:szCs w:val="20"/>
                <w:vertAlign w:val="superscript"/>
                <w:lang w:val="en-GB" w:eastAsia="en-GB"/>
              </w:rPr>
              <w:footnoteReference w:id="20"/>
            </w:r>
            <w:r w:rsidRPr="000A3F70">
              <w:rPr>
                <w:rFonts w:ascii="Calibri" w:eastAsia="Times New Roman" w:hAnsi="Calibri" w:cs="Times New Roman"/>
                <w:sz w:val="20"/>
                <w:szCs w:val="20"/>
                <w:lang w:val="en-GB" w:eastAsia="en-GB"/>
              </w:rPr>
              <w:t xml:space="preserve"> and timely formative feedback is regularly provided to enrolled learners as they progress within the programme.</w:t>
            </w:r>
          </w:p>
        </w:tc>
      </w:tr>
    </w:tbl>
    <w:p w:rsidR="00472A27" w:rsidRPr="000A3F70" w:rsidRDefault="00472A27" w:rsidP="00472A27"/>
    <w:p w:rsidR="00634D06" w:rsidRDefault="00634D06" w:rsidP="00634D06">
      <w:r w:rsidRPr="000A3F70">
        <w:t>In meetings with students and graduates, the panel found that they were very positive about the level of support received from lecturers and other staff. They appreciated the small class sizes and the easy access to teaching staff, who were generally very responsive to requests for support, clarification or feedback, which was delivered in a timely manner.</w:t>
      </w:r>
    </w:p>
    <w:p w:rsidR="00100981" w:rsidRPr="003E271E" w:rsidRDefault="00100981" w:rsidP="00634D06">
      <w:r w:rsidRPr="003E271E">
        <w:t xml:space="preserve">In relation to the MA in Addiction Studies the panel was informed that some </w:t>
      </w:r>
      <w:r w:rsidR="00BF3BDC" w:rsidRPr="00D2578D">
        <w:t>non-</w:t>
      </w:r>
      <w:r w:rsidRPr="00D2578D">
        <w:t>EU</w:t>
      </w:r>
      <w:r w:rsidRPr="003E271E">
        <w:t xml:space="preserve"> students had experienced challenges regarding language and cultural differences which had resulted in non-submission of assessments. DBS responded by putting in place weekly academic support tutorials which are proving beneficial in addressing these issues.</w:t>
      </w:r>
    </w:p>
    <w:p w:rsidR="008F24BF" w:rsidRPr="003E271E" w:rsidRDefault="008F24BF" w:rsidP="00634D06">
      <w:r w:rsidRPr="003E271E">
        <w:t>The panel noted the effective and long-standing relationships</w:t>
      </w:r>
      <w:r w:rsidR="00100981" w:rsidRPr="003E271E">
        <w:t xml:space="preserve"> that</w:t>
      </w:r>
      <w:r w:rsidRPr="003E271E">
        <w:t xml:space="preserve"> DBS staff had developed with clinical partners such as St Vincent’s Hospital and with service providers and schools, enabling students to avail of appropriate clinical and non-clinical learning opportunities.</w:t>
      </w:r>
    </w:p>
    <w:p w:rsidR="008F24BF" w:rsidRPr="003E271E" w:rsidRDefault="00100981" w:rsidP="00634D06">
      <w:r w:rsidRPr="003E271E">
        <w:t>The panel found</w:t>
      </w:r>
      <w:r w:rsidR="008F24BF" w:rsidRPr="003E271E">
        <w:t xml:space="preserve"> that the booklists provided for students on</w:t>
      </w:r>
      <w:r w:rsidR="00CF298B">
        <w:t xml:space="preserve"> some of the modules on</w:t>
      </w:r>
      <w:r w:rsidR="008F24BF" w:rsidRPr="003E271E">
        <w:t xml:space="preserve"> the MA in </w:t>
      </w:r>
      <w:r w:rsidR="003E271E">
        <w:t>Addiction Studies and the Postgraduate</w:t>
      </w:r>
      <w:r w:rsidR="008F24BF" w:rsidRPr="003E271E">
        <w:t xml:space="preserve"> Diploma in Addiction Studies were </w:t>
      </w:r>
      <w:r w:rsidRPr="003E271E">
        <w:t xml:space="preserve">not </w:t>
      </w:r>
      <w:r w:rsidR="008F24BF" w:rsidRPr="003E271E">
        <w:t xml:space="preserve">sufficiently up to date to reflect current thinking in this field. </w:t>
      </w:r>
    </w:p>
    <w:p w:rsidR="008F24BF" w:rsidRPr="003E271E" w:rsidRDefault="00847D9A" w:rsidP="00472A27">
      <w:r w:rsidRPr="003E271E">
        <w:t>Recommendation</w:t>
      </w:r>
      <w:r w:rsidR="00634D06" w:rsidRPr="003E271E">
        <w:t xml:space="preserve"> 3</w:t>
      </w:r>
    </w:p>
    <w:p w:rsidR="00100981" w:rsidRPr="003E271E" w:rsidRDefault="008F24BF" w:rsidP="00472A27">
      <w:r w:rsidRPr="003E271E">
        <w:t xml:space="preserve"> C</w:t>
      </w:r>
      <w:r w:rsidR="00634D06" w:rsidRPr="003E271E">
        <w:t>ore texts on the</w:t>
      </w:r>
      <w:r w:rsidR="00100981" w:rsidRPr="003E271E">
        <w:t xml:space="preserve"> MA in Addiction Studies</w:t>
      </w:r>
      <w:r w:rsidR="00634D06" w:rsidRPr="003E271E">
        <w:t xml:space="preserve"> be</w:t>
      </w:r>
      <w:r w:rsidR="00847D9A" w:rsidRPr="003E271E">
        <w:t xml:space="preserve"> updated to reflect curr</w:t>
      </w:r>
      <w:r w:rsidR="00100981" w:rsidRPr="003E271E">
        <w:t>ent thinking and more recent</w:t>
      </w:r>
      <w:r w:rsidR="00CF298B">
        <w:t xml:space="preserve"> publications, where appropriate.</w:t>
      </w:r>
    </w:p>
    <w:p w:rsidR="00100981" w:rsidRPr="00100981" w:rsidRDefault="00100981" w:rsidP="00472A27">
      <w:pPr>
        <w:rPr>
          <w:color w:val="C00000"/>
        </w:rPr>
      </w:pPr>
    </w:p>
    <w:p w:rsidR="00472A27" w:rsidRPr="000A3F70" w:rsidRDefault="00EF24D1" w:rsidP="00EF24D1">
      <w:pPr>
        <w:pStyle w:val="Heading2"/>
        <w:rPr>
          <w:rFonts w:eastAsia="Times New Roman"/>
          <w:color w:val="auto"/>
        </w:rPr>
      </w:pPr>
      <w:bookmarkStart w:id="77" w:name="_Toc431134564"/>
      <w:bookmarkStart w:id="78" w:name="_Toc479176647"/>
      <w:bookmarkStart w:id="79" w:name="_Toc479176734"/>
      <w:bookmarkStart w:id="80" w:name="_Toc513221612"/>
      <w:r w:rsidRPr="000A3F70">
        <w:rPr>
          <w:rFonts w:eastAsia="Times New Roman"/>
          <w:color w:val="auto"/>
        </w:rPr>
        <w:t xml:space="preserve">Criterion 10: </w:t>
      </w:r>
      <w:r w:rsidR="00472A27" w:rsidRPr="000A3F70">
        <w:rPr>
          <w:rFonts w:eastAsia="Times New Roman"/>
          <w:color w:val="auto"/>
        </w:rPr>
        <w:t>There are sound assessment</w:t>
      </w:r>
      <w:bookmarkEnd w:id="77"/>
      <w:r w:rsidR="00472A27" w:rsidRPr="000A3F70">
        <w:rPr>
          <w:rFonts w:eastAsia="Times New Roman"/>
          <w:color w:val="auto"/>
        </w:rPr>
        <w:t xml:space="preserve"> strategies</w:t>
      </w:r>
      <w:bookmarkEnd w:id="78"/>
      <w:bookmarkEnd w:id="79"/>
      <w:bookmarkEnd w:id="80"/>
    </w:p>
    <w:tbl>
      <w:tblPr>
        <w:tblStyle w:val="TableGrid"/>
        <w:tblW w:w="0" w:type="auto"/>
        <w:tblInd w:w="-5" w:type="dxa"/>
        <w:tblLook w:val="04A0" w:firstRow="1" w:lastRow="0" w:firstColumn="1" w:lastColumn="0" w:noHBand="0" w:noVBand="1"/>
      </w:tblPr>
      <w:tblGrid>
        <w:gridCol w:w="1196"/>
        <w:gridCol w:w="3469"/>
        <w:gridCol w:w="4356"/>
      </w:tblGrid>
      <w:tr w:rsidR="00472A27" w:rsidRPr="000A3F70" w:rsidTr="001C0F0B">
        <w:tc>
          <w:tcPr>
            <w:tcW w:w="1196" w:type="dxa"/>
            <w:shd w:val="clear" w:color="auto" w:fill="DEEAF6" w:themeFill="accent1" w:themeFillTint="33"/>
          </w:tcPr>
          <w:p w:rsidR="00472A27" w:rsidRPr="000A3F70" w:rsidRDefault="00A041D8" w:rsidP="001C0F0B">
            <w:pPr>
              <w:contextualSpacing/>
              <w:rPr>
                <w:rFonts w:ascii="Calibri" w:eastAsia="Times New Roman" w:hAnsi="Calibri" w:cs="Times New Roman"/>
                <w:b/>
                <w:sz w:val="20"/>
                <w:szCs w:val="20"/>
                <w:lang w:val="en-GB"/>
              </w:rPr>
            </w:pPr>
            <w:r>
              <w:rPr>
                <w:rFonts w:ascii="Calibri" w:eastAsia="Times New Roman" w:hAnsi="Calibri" w:cs="Times New Roman"/>
                <w:b/>
                <w:sz w:val="20"/>
                <w:szCs w:val="20"/>
                <w:lang w:val="en-GB"/>
              </w:rPr>
              <w:t xml:space="preserve">Satisfactory </w:t>
            </w:r>
            <w:r w:rsidRPr="003E271E">
              <w:rPr>
                <w:rFonts w:ascii="Calibri" w:eastAsia="Times New Roman" w:hAnsi="Calibri" w:cs="Times New Roman"/>
                <w:b/>
                <w:sz w:val="20"/>
                <w:szCs w:val="20"/>
                <w:lang w:val="en-GB"/>
              </w:rPr>
              <w:t>Y</w:t>
            </w:r>
            <w:r w:rsidR="00472A27" w:rsidRPr="003E271E">
              <w:rPr>
                <w:rFonts w:ascii="Calibri" w:eastAsia="Times New Roman" w:hAnsi="Calibri" w:cs="Times New Roman"/>
                <w:b/>
                <w:sz w:val="20"/>
                <w:szCs w:val="20"/>
                <w:lang w:val="en-GB"/>
              </w:rPr>
              <w:t>es</w:t>
            </w:r>
          </w:p>
        </w:tc>
        <w:tc>
          <w:tcPr>
            <w:tcW w:w="3469"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356"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Sub-criteria</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eastAsia="en-GB"/>
              </w:rPr>
            </w:pPr>
          </w:p>
        </w:tc>
        <w:tc>
          <w:tcPr>
            <w:tcW w:w="3469" w:type="dxa"/>
            <w:shd w:val="clear" w:color="auto" w:fill="auto"/>
          </w:tcPr>
          <w:p w:rsidR="00472A27" w:rsidRPr="000A3F70" w:rsidRDefault="00472A27" w:rsidP="001C0F0B">
            <w:pPr>
              <w:rPr>
                <w:rFonts w:ascii="Calibri" w:eastAsia="Times New Roman" w:hAnsi="Calibri" w:cs="Times New Roman"/>
                <w:lang w:eastAsia="en-GB"/>
              </w:rPr>
            </w:pPr>
          </w:p>
        </w:tc>
        <w:tc>
          <w:tcPr>
            <w:tcW w:w="4356" w:type="dxa"/>
            <w:shd w:val="clear" w:color="auto" w:fill="DEEAF6" w:themeFill="accent1" w:themeFillTint="33"/>
          </w:tcPr>
          <w:p w:rsidR="00472A27" w:rsidRPr="000A3F70" w:rsidRDefault="00472A27" w:rsidP="00C90305">
            <w:pPr>
              <w:numPr>
                <w:ilvl w:val="0"/>
                <w:numId w:val="11"/>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 xml:space="preserve">All assessment is undertaken consistently with </w:t>
            </w:r>
            <w:r w:rsidRPr="000A3F70">
              <w:rPr>
                <w:rFonts w:ascii="Calibri" w:eastAsia="Times New Roman" w:hAnsi="Calibri" w:cs="Times New Roman"/>
                <w:b/>
                <w:i/>
                <w:sz w:val="20"/>
                <w:szCs w:val="20"/>
                <w:lang w:eastAsia="en-GB"/>
              </w:rPr>
              <w:t>Assessment Guidelines, Conventions and Protocols for Programmes Leading to QQI Awards</w:t>
            </w:r>
            <w:r w:rsidRPr="000A3F70">
              <w:rPr>
                <w:rFonts w:ascii="Calibri" w:eastAsia="Times New Roman" w:hAnsi="Calibri" w:cs="Times New Roman"/>
                <w:i/>
                <w:sz w:val="20"/>
                <w:szCs w:val="20"/>
                <w:vertAlign w:val="superscript"/>
                <w:lang w:eastAsia="en-GB"/>
              </w:rPr>
              <w:footnoteReference w:id="21"/>
            </w:r>
            <w:r w:rsidRPr="000A3F70">
              <w:rPr>
                <w:rFonts w:ascii="Calibri" w:eastAsia="Times New Roman" w:hAnsi="Calibri" w:cs="Times New Roman"/>
                <w:sz w:val="20"/>
                <w:szCs w:val="20"/>
                <w:lang w:eastAsia="en-GB"/>
              </w:rPr>
              <w:t xml:space="preserve">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eastAsia="en-GB"/>
              </w:rPr>
            </w:pPr>
          </w:p>
        </w:tc>
        <w:tc>
          <w:tcPr>
            <w:tcW w:w="3469" w:type="dxa"/>
            <w:shd w:val="clear" w:color="auto" w:fill="auto"/>
          </w:tcPr>
          <w:p w:rsidR="00472A27" w:rsidRPr="000A3F70" w:rsidRDefault="00472A27" w:rsidP="001C0F0B">
            <w:pPr>
              <w:rPr>
                <w:rFonts w:ascii="Calibri" w:eastAsia="Times New Roman" w:hAnsi="Calibri" w:cs="Times New Roman"/>
                <w:lang w:eastAsia="en-GB"/>
              </w:rPr>
            </w:pPr>
          </w:p>
        </w:tc>
        <w:tc>
          <w:tcPr>
            <w:tcW w:w="4356" w:type="dxa"/>
            <w:shd w:val="clear" w:color="auto" w:fill="DEEAF6" w:themeFill="accent1" w:themeFillTint="33"/>
          </w:tcPr>
          <w:p w:rsidR="00472A27" w:rsidRPr="000A3F70" w:rsidRDefault="00472A27" w:rsidP="00C90305">
            <w:pPr>
              <w:numPr>
                <w:ilvl w:val="0"/>
                <w:numId w:val="11"/>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 xml:space="preserve">The programme’s assessment procedures interface effectively with the provider’s QQI approved quality assurance procedures.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eastAsia="en-GB"/>
              </w:rPr>
            </w:pPr>
          </w:p>
        </w:tc>
        <w:tc>
          <w:tcPr>
            <w:tcW w:w="3469" w:type="dxa"/>
            <w:shd w:val="clear" w:color="auto" w:fill="auto"/>
          </w:tcPr>
          <w:p w:rsidR="00472A27" w:rsidRPr="000A3F70" w:rsidRDefault="00472A27" w:rsidP="001C0F0B">
            <w:pPr>
              <w:rPr>
                <w:rFonts w:ascii="Calibri" w:eastAsia="Times New Roman" w:hAnsi="Calibri" w:cs="Times New Roman"/>
                <w:lang w:eastAsia="en-GB"/>
              </w:rPr>
            </w:pPr>
          </w:p>
        </w:tc>
        <w:tc>
          <w:tcPr>
            <w:tcW w:w="4356" w:type="dxa"/>
            <w:shd w:val="clear" w:color="auto" w:fill="DEEAF6" w:themeFill="accent1" w:themeFillTint="33"/>
          </w:tcPr>
          <w:p w:rsidR="00472A27" w:rsidRPr="000A3F70" w:rsidRDefault="00472A27" w:rsidP="00C90305">
            <w:pPr>
              <w:numPr>
                <w:ilvl w:val="0"/>
                <w:numId w:val="11"/>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0A3F70">
              <w:rPr>
                <w:rFonts w:ascii="Calibri" w:eastAsia="Times New Roman" w:hAnsi="Calibri" w:cs="Times New Roman"/>
                <w:sz w:val="20"/>
                <w:szCs w:val="20"/>
                <w:vertAlign w:val="superscript"/>
                <w:lang w:eastAsia="en-GB"/>
              </w:rPr>
              <w:footnoteReference w:id="22"/>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eastAsia="en-GB"/>
              </w:rPr>
            </w:pPr>
          </w:p>
        </w:tc>
        <w:tc>
          <w:tcPr>
            <w:tcW w:w="3469" w:type="dxa"/>
            <w:shd w:val="clear" w:color="auto" w:fill="auto"/>
          </w:tcPr>
          <w:p w:rsidR="00472A27" w:rsidRPr="000A3F70" w:rsidRDefault="00472A27" w:rsidP="001C0F0B">
            <w:pPr>
              <w:rPr>
                <w:rFonts w:ascii="Calibri" w:eastAsia="Times New Roman" w:hAnsi="Calibri" w:cs="Times New Roman"/>
                <w:lang w:eastAsia="en-GB"/>
              </w:rPr>
            </w:pPr>
          </w:p>
        </w:tc>
        <w:tc>
          <w:tcPr>
            <w:tcW w:w="4356" w:type="dxa"/>
            <w:shd w:val="clear" w:color="auto" w:fill="DEEAF6" w:themeFill="accent1" w:themeFillTint="33"/>
          </w:tcPr>
          <w:p w:rsidR="00472A27" w:rsidRPr="000A3F70" w:rsidRDefault="00472A27" w:rsidP="00C90305">
            <w:pPr>
              <w:numPr>
                <w:ilvl w:val="0"/>
                <w:numId w:val="11"/>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The programme includes formative assessment to support learning.</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eastAsia="en-GB"/>
              </w:rPr>
            </w:pPr>
          </w:p>
        </w:tc>
        <w:tc>
          <w:tcPr>
            <w:tcW w:w="3469" w:type="dxa"/>
            <w:shd w:val="clear" w:color="auto" w:fill="auto"/>
          </w:tcPr>
          <w:p w:rsidR="00472A27" w:rsidRPr="000A3F70" w:rsidRDefault="00472A27" w:rsidP="001C0F0B">
            <w:pPr>
              <w:rPr>
                <w:rFonts w:ascii="Calibri" w:eastAsia="Times New Roman" w:hAnsi="Calibri" w:cs="Times New Roman"/>
                <w:lang w:eastAsia="en-GB"/>
              </w:rPr>
            </w:pPr>
          </w:p>
        </w:tc>
        <w:tc>
          <w:tcPr>
            <w:tcW w:w="4356" w:type="dxa"/>
            <w:shd w:val="clear" w:color="auto" w:fill="DEEAF6" w:themeFill="accent1" w:themeFillTint="33"/>
          </w:tcPr>
          <w:p w:rsidR="00472A27" w:rsidRPr="000A3F70" w:rsidRDefault="00472A27" w:rsidP="00C90305">
            <w:pPr>
              <w:numPr>
                <w:ilvl w:val="0"/>
                <w:numId w:val="11"/>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 xml:space="preserve">There is a satisfactory written </w:t>
            </w:r>
            <w:r w:rsidRPr="000A3F70">
              <w:rPr>
                <w:rFonts w:ascii="Calibri" w:eastAsia="Times New Roman" w:hAnsi="Calibri" w:cs="Times New Roman"/>
                <w:b/>
                <w:sz w:val="20"/>
                <w:szCs w:val="20"/>
                <w:lang w:eastAsia="en-GB"/>
              </w:rPr>
              <w:t>programme assessment strategy</w:t>
            </w:r>
            <w:r w:rsidRPr="000A3F70">
              <w:rPr>
                <w:rFonts w:ascii="Calibri" w:eastAsia="Times New Roman" w:hAnsi="Calibri" w:cs="Times New Roman"/>
                <w:sz w:val="20"/>
                <w:szCs w:val="20"/>
                <w:lang w:eastAsia="en-GB"/>
              </w:rPr>
              <w:t xml:space="preserve"> for the programme as a whole and there are satisfactory module assessment strategies for any of its constituent modules.</w:t>
            </w:r>
            <w:r w:rsidRPr="000A3F70">
              <w:rPr>
                <w:rFonts w:ascii="Calibri" w:eastAsia="Times New Roman" w:hAnsi="Calibri" w:cs="Times New Roman"/>
                <w:sz w:val="20"/>
                <w:szCs w:val="20"/>
                <w:vertAlign w:val="superscript"/>
                <w:lang w:eastAsia="en-GB"/>
              </w:rPr>
              <w:footnoteReference w:id="23"/>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eastAsia="en-GB"/>
              </w:rPr>
            </w:pPr>
          </w:p>
        </w:tc>
        <w:tc>
          <w:tcPr>
            <w:tcW w:w="3469" w:type="dxa"/>
            <w:shd w:val="clear" w:color="auto" w:fill="auto"/>
          </w:tcPr>
          <w:p w:rsidR="00472A27" w:rsidRPr="000A3F70" w:rsidRDefault="00472A27" w:rsidP="001C0F0B">
            <w:pPr>
              <w:rPr>
                <w:rFonts w:ascii="Calibri" w:eastAsia="Times New Roman" w:hAnsi="Calibri" w:cs="Times New Roman"/>
                <w:lang w:eastAsia="en-GB"/>
              </w:rPr>
            </w:pPr>
          </w:p>
        </w:tc>
        <w:tc>
          <w:tcPr>
            <w:tcW w:w="4356" w:type="dxa"/>
            <w:shd w:val="clear" w:color="auto" w:fill="DEEAF6" w:themeFill="accent1" w:themeFillTint="33"/>
          </w:tcPr>
          <w:p w:rsidR="00472A27" w:rsidRPr="000A3F70" w:rsidRDefault="00472A27" w:rsidP="00C90305">
            <w:pPr>
              <w:numPr>
                <w:ilvl w:val="0"/>
                <w:numId w:val="11"/>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 xml:space="preserve">Sample assessment instruments, tasks, marking schemes and related evidence have been provided for each award-stage assessment and indicate that the assessment is likely to be valid and reliable.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eastAsia="en-GB"/>
              </w:rPr>
            </w:pPr>
          </w:p>
        </w:tc>
        <w:tc>
          <w:tcPr>
            <w:tcW w:w="3469" w:type="dxa"/>
            <w:shd w:val="clear" w:color="auto" w:fill="auto"/>
          </w:tcPr>
          <w:p w:rsidR="00472A27" w:rsidRPr="000A3F70" w:rsidRDefault="00472A27" w:rsidP="001C0F0B">
            <w:pPr>
              <w:rPr>
                <w:rFonts w:ascii="Calibri" w:eastAsia="Times New Roman" w:hAnsi="Calibri" w:cs="Times New Roman"/>
                <w:lang w:eastAsia="en-GB"/>
              </w:rPr>
            </w:pPr>
          </w:p>
        </w:tc>
        <w:tc>
          <w:tcPr>
            <w:tcW w:w="4356" w:type="dxa"/>
            <w:shd w:val="clear" w:color="auto" w:fill="DEEAF6" w:themeFill="accent1" w:themeFillTint="33"/>
          </w:tcPr>
          <w:p w:rsidR="00472A27" w:rsidRPr="000A3F70" w:rsidRDefault="00472A27" w:rsidP="00C90305">
            <w:pPr>
              <w:numPr>
                <w:ilvl w:val="0"/>
                <w:numId w:val="11"/>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There are sound procedures for the moderation of summative assessment results.</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eastAsia="en-GB"/>
              </w:rPr>
            </w:pPr>
          </w:p>
        </w:tc>
        <w:tc>
          <w:tcPr>
            <w:tcW w:w="3469" w:type="dxa"/>
            <w:shd w:val="clear" w:color="auto" w:fill="auto"/>
          </w:tcPr>
          <w:p w:rsidR="00472A27" w:rsidRPr="000A3F70" w:rsidRDefault="00472A27" w:rsidP="001C0F0B">
            <w:pPr>
              <w:rPr>
                <w:rFonts w:ascii="Calibri" w:eastAsia="Times New Roman" w:hAnsi="Calibri" w:cs="Times New Roman"/>
                <w:lang w:eastAsia="en-GB"/>
              </w:rPr>
            </w:pPr>
          </w:p>
        </w:tc>
        <w:tc>
          <w:tcPr>
            <w:tcW w:w="4356" w:type="dxa"/>
            <w:shd w:val="clear" w:color="auto" w:fill="DEEAF6" w:themeFill="accent1" w:themeFillTint="33"/>
          </w:tcPr>
          <w:p w:rsidR="00472A27" w:rsidRPr="000A3F70" w:rsidRDefault="00472A27" w:rsidP="00C90305">
            <w:pPr>
              <w:numPr>
                <w:ilvl w:val="0"/>
                <w:numId w:val="11"/>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The provider only puts forward an enrolled learner for certification for a particular award for which a programme has been validated if they have been specifically assessed against the standard for that award.</w:t>
            </w:r>
            <w:r w:rsidRPr="000A3F70">
              <w:rPr>
                <w:rFonts w:ascii="Calibri" w:eastAsia="Times New Roman" w:hAnsi="Calibri" w:cs="Times New Roman"/>
                <w:sz w:val="20"/>
                <w:szCs w:val="20"/>
                <w:vertAlign w:val="superscript"/>
                <w:lang w:eastAsia="en-GB"/>
              </w:rPr>
              <w:footnoteReference w:id="24"/>
            </w:r>
          </w:p>
        </w:tc>
      </w:tr>
    </w:tbl>
    <w:p w:rsidR="00F24E57" w:rsidRPr="000A3F70" w:rsidRDefault="00F24E57" w:rsidP="00F24E57"/>
    <w:p w:rsidR="008D7CA7" w:rsidRPr="000A3F70" w:rsidRDefault="00F24E57" w:rsidP="00F24E57">
      <w:r w:rsidRPr="000A3F70">
        <w:t>The panel was advised that all assessment for the programmes conforms to the DBS Assessment Regulations which are informed by QQI Assessment and Standards Revised 2013.</w:t>
      </w:r>
    </w:p>
    <w:p w:rsidR="00C00DDC" w:rsidRPr="009C7C20" w:rsidRDefault="00837435" w:rsidP="00C00DDC">
      <w:r w:rsidRPr="009C7C20">
        <w:t>From the programme review document for the MA in Addiction Studies the panel noted the low attendance of students at some modules. It was further noted that for the proposed programme two modules include a</w:t>
      </w:r>
      <w:r w:rsidR="009C7C20" w:rsidRPr="009C7C20">
        <w:t>n</w:t>
      </w:r>
      <w:r w:rsidRPr="009C7C20">
        <w:t xml:space="preserve"> end of term examination and one in-class test. In discussions with the teaching team the panel was advised that there is further scope to consider the usefulness of examinations and test-related assessment at this level of study, and that</w:t>
      </w:r>
      <w:r w:rsidR="009C7C20" w:rsidRPr="009C7C20">
        <w:t xml:space="preserve"> the assessment strategies for </w:t>
      </w:r>
      <w:r w:rsidRPr="009C7C20">
        <w:t>these modules could be revised in a manner that would encourage greater class attendance and participation.</w:t>
      </w:r>
    </w:p>
    <w:p w:rsidR="00472A27" w:rsidRDefault="00CF298B" w:rsidP="00472A27">
      <w:r>
        <w:rPr>
          <w:rFonts w:eastAsia="Times New Roman"/>
        </w:rPr>
        <w:t xml:space="preserve"> </w:t>
      </w:r>
      <w:r w:rsidR="00A041D8" w:rsidRPr="00D86505">
        <w:t xml:space="preserve">In relation to areas for improvement, the panel noted feedback from students </w:t>
      </w:r>
      <w:r w:rsidR="00D45A0F" w:rsidRPr="00D86505">
        <w:t>that some assessments were based on utilising books from the library and there were occasions where insufficient copies were available. In one instance, a group of twenty students had access to only five books.</w:t>
      </w:r>
    </w:p>
    <w:p w:rsidR="00024768" w:rsidRPr="000A3F70" w:rsidRDefault="00024768" w:rsidP="00472A27"/>
    <w:p w:rsidR="00472A27" w:rsidRPr="000A3F70" w:rsidRDefault="00EF24D1" w:rsidP="00EF24D1">
      <w:pPr>
        <w:pStyle w:val="Heading2"/>
        <w:rPr>
          <w:rFonts w:eastAsia="Times New Roman"/>
          <w:color w:val="auto"/>
        </w:rPr>
      </w:pPr>
      <w:bookmarkStart w:id="81" w:name="_Toc431134561"/>
      <w:bookmarkStart w:id="82" w:name="_Toc479176651"/>
      <w:bookmarkStart w:id="83" w:name="_Toc479176738"/>
      <w:bookmarkStart w:id="84" w:name="_Toc513221613"/>
      <w:r w:rsidRPr="000A3F70">
        <w:rPr>
          <w:rFonts w:eastAsia="Times New Roman"/>
          <w:color w:val="auto"/>
        </w:rPr>
        <w:t xml:space="preserve">Criterion 11: </w:t>
      </w:r>
      <w:r w:rsidR="00472A27" w:rsidRPr="000A3F70">
        <w:rPr>
          <w:rFonts w:eastAsia="Times New Roman"/>
          <w:color w:val="auto"/>
        </w:rPr>
        <w:t>Learners enrolled on the programme are well informed, guid</w:t>
      </w:r>
      <w:bookmarkEnd w:id="81"/>
      <w:r w:rsidR="00472A27" w:rsidRPr="000A3F70">
        <w:rPr>
          <w:rFonts w:eastAsia="Times New Roman"/>
          <w:color w:val="auto"/>
        </w:rPr>
        <w:t>ed and cared for</w:t>
      </w:r>
      <w:bookmarkEnd w:id="82"/>
      <w:bookmarkEnd w:id="83"/>
      <w:bookmarkEnd w:id="84"/>
      <w:r w:rsidR="00472A27" w:rsidRPr="000A3F70">
        <w:rPr>
          <w:rFonts w:eastAsia="Times New Roman"/>
          <w:color w:val="auto"/>
        </w:rPr>
        <w:t xml:space="preserve"> </w:t>
      </w:r>
    </w:p>
    <w:tbl>
      <w:tblPr>
        <w:tblStyle w:val="TableGrid"/>
        <w:tblW w:w="0" w:type="auto"/>
        <w:tblInd w:w="-5" w:type="dxa"/>
        <w:tblLook w:val="04A0" w:firstRow="1" w:lastRow="0" w:firstColumn="1" w:lastColumn="0" w:noHBand="0" w:noVBand="1"/>
      </w:tblPr>
      <w:tblGrid>
        <w:gridCol w:w="1196"/>
        <w:gridCol w:w="3470"/>
        <w:gridCol w:w="4355"/>
      </w:tblGrid>
      <w:tr w:rsidR="00472A27" w:rsidRPr="000A3F70" w:rsidTr="001C0F0B">
        <w:tc>
          <w:tcPr>
            <w:tcW w:w="1196" w:type="dxa"/>
            <w:shd w:val="clear" w:color="auto" w:fill="DEEAF6" w:themeFill="accent1" w:themeFillTint="33"/>
          </w:tcPr>
          <w:p w:rsidR="00472A27" w:rsidRPr="000A3F70" w:rsidRDefault="00CD18DA" w:rsidP="001C0F0B">
            <w:pPr>
              <w:contextualSpacing/>
              <w:rPr>
                <w:rFonts w:ascii="Calibri" w:eastAsia="Times New Roman" w:hAnsi="Calibri" w:cs="Times New Roman"/>
                <w:b/>
                <w:sz w:val="20"/>
                <w:szCs w:val="20"/>
                <w:lang w:val="en-GB"/>
              </w:rPr>
            </w:pPr>
            <w:r>
              <w:rPr>
                <w:rFonts w:ascii="Calibri" w:eastAsia="Times New Roman" w:hAnsi="Calibri" w:cs="Times New Roman"/>
                <w:b/>
                <w:sz w:val="20"/>
                <w:szCs w:val="20"/>
                <w:lang w:val="en-GB"/>
              </w:rPr>
              <w:t xml:space="preserve">Satisfactory </w:t>
            </w:r>
            <w:r w:rsidRPr="00D86505">
              <w:rPr>
                <w:rFonts w:ascii="Calibri" w:eastAsia="Times New Roman" w:hAnsi="Calibri" w:cs="Times New Roman"/>
                <w:b/>
                <w:sz w:val="20"/>
                <w:szCs w:val="20"/>
                <w:lang w:val="en-GB"/>
              </w:rPr>
              <w:t>Y</w:t>
            </w:r>
            <w:r w:rsidR="00472A27" w:rsidRPr="00D86505">
              <w:rPr>
                <w:rFonts w:ascii="Calibri" w:eastAsia="Times New Roman" w:hAnsi="Calibri" w:cs="Times New Roman"/>
                <w:b/>
                <w:sz w:val="20"/>
                <w:szCs w:val="20"/>
                <w:lang w:val="en-GB"/>
              </w:rPr>
              <w:t>es</w:t>
            </w:r>
          </w:p>
        </w:tc>
        <w:tc>
          <w:tcPr>
            <w:tcW w:w="3470"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355"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Sub-criteria</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70" w:type="dxa"/>
            <w:shd w:val="clear" w:color="auto" w:fill="auto"/>
          </w:tcPr>
          <w:p w:rsidR="00472A27" w:rsidRPr="000A3F70" w:rsidRDefault="00472A27" w:rsidP="001C0F0B">
            <w:pPr>
              <w:rPr>
                <w:lang w:val="en-GB" w:eastAsia="en-GB"/>
              </w:rPr>
            </w:pPr>
          </w:p>
        </w:tc>
        <w:tc>
          <w:tcPr>
            <w:tcW w:w="4355" w:type="dxa"/>
            <w:shd w:val="clear" w:color="auto" w:fill="DEEAF6" w:themeFill="accent1" w:themeFillTint="33"/>
          </w:tcPr>
          <w:p w:rsidR="00472A27" w:rsidRPr="000A3F70" w:rsidRDefault="00472A27" w:rsidP="00C90305">
            <w:pPr>
              <w:numPr>
                <w:ilvl w:val="0"/>
                <w:numId w:val="10"/>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 xml:space="preserve">There are arrangements to ensure that each enrolled learner is fully informed in a timely manner about the programme including the schedule of activities and assessments.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70" w:type="dxa"/>
            <w:shd w:val="clear" w:color="auto" w:fill="auto"/>
          </w:tcPr>
          <w:p w:rsidR="00472A27" w:rsidRPr="000A3F70" w:rsidRDefault="00472A27" w:rsidP="001C0F0B">
            <w:pPr>
              <w:rPr>
                <w:lang w:val="en-GB" w:eastAsia="en-GB"/>
              </w:rPr>
            </w:pPr>
          </w:p>
        </w:tc>
        <w:tc>
          <w:tcPr>
            <w:tcW w:w="4355" w:type="dxa"/>
            <w:shd w:val="clear" w:color="auto" w:fill="DEEAF6" w:themeFill="accent1" w:themeFillTint="33"/>
          </w:tcPr>
          <w:p w:rsidR="00472A27" w:rsidRPr="000A3F70" w:rsidRDefault="00472A27" w:rsidP="00C90305">
            <w:pPr>
              <w:numPr>
                <w:ilvl w:val="0"/>
                <w:numId w:val="10"/>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 xml:space="preserve">Information is provided about learner supports that are available to learners enrolled on the programme.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70" w:type="dxa"/>
            <w:shd w:val="clear" w:color="auto" w:fill="auto"/>
          </w:tcPr>
          <w:p w:rsidR="00472A27" w:rsidRPr="000A3F70" w:rsidRDefault="00472A27" w:rsidP="001C0F0B">
            <w:pPr>
              <w:rPr>
                <w:lang w:val="en-GB" w:eastAsia="en-GB"/>
              </w:rPr>
            </w:pPr>
          </w:p>
        </w:tc>
        <w:tc>
          <w:tcPr>
            <w:tcW w:w="4355" w:type="dxa"/>
            <w:shd w:val="clear" w:color="auto" w:fill="DEEAF6" w:themeFill="accent1" w:themeFillTint="33"/>
          </w:tcPr>
          <w:p w:rsidR="00472A27" w:rsidRPr="000A3F70" w:rsidRDefault="00472A27" w:rsidP="00C90305">
            <w:pPr>
              <w:numPr>
                <w:ilvl w:val="0"/>
                <w:numId w:val="10"/>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 xml:space="preserve">Specific information is provided to learners enrolled on the programme about any programme-specific appeals and complaints procedures.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70" w:type="dxa"/>
            <w:shd w:val="clear" w:color="auto" w:fill="auto"/>
          </w:tcPr>
          <w:p w:rsidR="00472A27" w:rsidRPr="000A3F70" w:rsidRDefault="00472A27" w:rsidP="001C0F0B">
            <w:pPr>
              <w:rPr>
                <w:lang w:val="en-GB" w:eastAsia="en-GB"/>
              </w:rPr>
            </w:pPr>
          </w:p>
        </w:tc>
        <w:tc>
          <w:tcPr>
            <w:tcW w:w="4355" w:type="dxa"/>
            <w:shd w:val="clear" w:color="auto" w:fill="DEEAF6" w:themeFill="accent1" w:themeFillTint="33"/>
          </w:tcPr>
          <w:p w:rsidR="00472A27" w:rsidRPr="000A3F70" w:rsidRDefault="00472A27" w:rsidP="00C90305">
            <w:pPr>
              <w:numPr>
                <w:ilvl w:val="0"/>
                <w:numId w:val="10"/>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If the programme is modular, it includes arrangements for the provision of effective guidance services for learners on the selection of appropriate learning pathways.</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70" w:type="dxa"/>
            <w:shd w:val="clear" w:color="auto" w:fill="auto"/>
          </w:tcPr>
          <w:p w:rsidR="00472A27" w:rsidRPr="000A3F70" w:rsidRDefault="00472A27" w:rsidP="001C0F0B">
            <w:pPr>
              <w:rPr>
                <w:lang w:val="en-GB" w:eastAsia="en-GB"/>
              </w:rPr>
            </w:pPr>
          </w:p>
        </w:tc>
        <w:tc>
          <w:tcPr>
            <w:tcW w:w="4355" w:type="dxa"/>
            <w:shd w:val="clear" w:color="auto" w:fill="DEEAF6" w:themeFill="accent1" w:themeFillTint="33"/>
          </w:tcPr>
          <w:p w:rsidR="00472A27" w:rsidRPr="000A3F70" w:rsidRDefault="00472A27" w:rsidP="00C90305">
            <w:pPr>
              <w:numPr>
                <w:ilvl w:val="0"/>
                <w:numId w:val="10"/>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 xml:space="preserve">The programme takes into account and accommodates to the differences between enrolled learners, for example, in terms of their prior learning, maturity, and capabilities.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eastAsia="en-GB"/>
              </w:rPr>
            </w:pPr>
          </w:p>
        </w:tc>
        <w:tc>
          <w:tcPr>
            <w:tcW w:w="3470" w:type="dxa"/>
            <w:shd w:val="clear" w:color="auto" w:fill="auto"/>
          </w:tcPr>
          <w:p w:rsidR="00472A27" w:rsidRPr="000A3F70" w:rsidRDefault="00472A27" w:rsidP="001C0F0B">
            <w:pPr>
              <w:rPr>
                <w:lang w:eastAsia="en-GB"/>
              </w:rPr>
            </w:pPr>
          </w:p>
        </w:tc>
        <w:tc>
          <w:tcPr>
            <w:tcW w:w="4355" w:type="dxa"/>
            <w:shd w:val="clear" w:color="auto" w:fill="DEEAF6" w:themeFill="accent1" w:themeFillTint="33"/>
          </w:tcPr>
          <w:p w:rsidR="00472A27" w:rsidRPr="000A3F70" w:rsidRDefault="00472A27" w:rsidP="00C90305">
            <w:pPr>
              <w:numPr>
                <w:ilvl w:val="0"/>
                <w:numId w:val="10"/>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There are arrangements to ensure that learners enrolled on the programme are supervised and individualised support and due care is targeted at those who need it.</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70" w:type="dxa"/>
            <w:shd w:val="clear" w:color="auto" w:fill="auto"/>
          </w:tcPr>
          <w:p w:rsidR="00472A27" w:rsidRPr="000A3F70" w:rsidRDefault="00472A27" w:rsidP="001C0F0B">
            <w:pPr>
              <w:rPr>
                <w:lang w:val="en-GB" w:eastAsia="en-GB"/>
              </w:rPr>
            </w:pPr>
          </w:p>
        </w:tc>
        <w:tc>
          <w:tcPr>
            <w:tcW w:w="4355" w:type="dxa"/>
            <w:shd w:val="clear" w:color="auto" w:fill="DEEAF6" w:themeFill="accent1" w:themeFillTint="33"/>
          </w:tcPr>
          <w:p w:rsidR="00472A27" w:rsidRPr="000A3F70" w:rsidRDefault="00472A27" w:rsidP="00C90305">
            <w:pPr>
              <w:numPr>
                <w:ilvl w:val="0"/>
                <w:numId w:val="10"/>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 xml:space="preserve">The programme provides supports for enrolled learners who have special education and training needs.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70" w:type="dxa"/>
            <w:shd w:val="clear" w:color="auto" w:fill="auto"/>
          </w:tcPr>
          <w:p w:rsidR="00472A27" w:rsidRPr="000A3F70" w:rsidRDefault="00472A27" w:rsidP="001C0F0B">
            <w:pPr>
              <w:rPr>
                <w:lang w:val="en-GB" w:eastAsia="en-GB"/>
              </w:rPr>
            </w:pPr>
          </w:p>
        </w:tc>
        <w:tc>
          <w:tcPr>
            <w:tcW w:w="4355" w:type="dxa"/>
            <w:shd w:val="clear" w:color="auto" w:fill="DEEAF6" w:themeFill="accent1" w:themeFillTint="33"/>
          </w:tcPr>
          <w:p w:rsidR="00472A27" w:rsidRPr="000A3F70" w:rsidRDefault="00472A27" w:rsidP="00C90305">
            <w:pPr>
              <w:numPr>
                <w:ilvl w:val="0"/>
                <w:numId w:val="10"/>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The programme makes reasonable accommodations for learners with disabilities</w:t>
            </w:r>
            <w:r w:rsidRPr="000A3F70">
              <w:rPr>
                <w:rFonts w:ascii="Calibri" w:eastAsia="Times New Roman" w:hAnsi="Calibri" w:cs="Times New Roman"/>
                <w:sz w:val="20"/>
                <w:szCs w:val="20"/>
                <w:vertAlign w:val="superscript"/>
                <w:lang w:eastAsia="en-GB"/>
              </w:rPr>
              <w:footnoteReference w:id="25"/>
            </w:r>
            <w:r w:rsidRPr="000A3F70">
              <w:rPr>
                <w:rFonts w:ascii="Calibri" w:eastAsia="Times New Roman" w:hAnsi="Calibri" w:cs="Times New Roman"/>
                <w:sz w:val="20"/>
                <w:szCs w:val="20"/>
                <w:lang w:val="en-GB" w:eastAsia="en-GB"/>
              </w:rPr>
              <w:t>.</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val="en-GB" w:eastAsia="en-GB"/>
              </w:rPr>
            </w:pPr>
          </w:p>
        </w:tc>
        <w:tc>
          <w:tcPr>
            <w:tcW w:w="3470" w:type="dxa"/>
            <w:shd w:val="clear" w:color="auto" w:fill="auto"/>
          </w:tcPr>
          <w:p w:rsidR="00472A27" w:rsidRPr="000A3F70" w:rsidRDefault="00472A27" w:rsidP="001C0F0B">
            <w:pPr>
              <w:rPr>
                <w:lang w:val="en-GB" w:eastAsia="en-GB"/>
              </w:rPr>
            </w:pPr>
          </w:p>
        </w:tc>
        <w:tc>
          <w:tcPr>
            <w:tcW w:w="4355" w:type="dxa"/>
            <w:shd w:val="clear" w:color="auto" w:fill="DEEAF6" w:themeFill="accent1" w:themeFillTint="33"/>
          </w:tcPr>
          <w:p w:rsidR="00472A27" w:rsidRPr="000A3F70" w:rsidRDefault="00472A27" w:rsidP="00C90305">
            <w:pPr>
              <w:numPr>
                <w:ilvl w:val="0"/>
                <w:numId w:val="10"/>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val="en-GB" w:eastAsia="en-GB"/>
              </w:rPr>
              <w:t xml:space="preserve">If the programme aims to enrol international students it complies with the </w:t>
            </w:r>
            <w:r w:rsidRPr="000A3F70">
              <w:rPr>
                <w:rFonts w:ascii="Calibri" w:eastAsia="Times New Roman" w:hAnsi="Calibri" w:cs="Times New Roman"/>
                <w:i/>
                <w:sz w:val="20"/>
                <w:szCs w:val="20"/>
                <w:lang w:val="en-GB" w:eastAsia="en-GB"/>
              </w:rPr>
              <w:t>Code of Practice for Provision of Programmes to International Students</w:t>
            </w:r>
            <w:r w:rsidRPr="000A3F70">
              <w:rPr>
                <w:rFonts w:ascii="Calibri" w:eastAsia="Times New Roman" w:hAnsi="Calibri" w:cs="Times New Roman"/>
                <w:sz w:val="20"/>
                <w:szCs w:val="20"/>
                <w:vertAlign w:val="superscript"/>
                <w:lang w:eastAsia="en-GB"/>
              </w:rPr>
              <w:footnoteReference w:id="26"/>
            </w:r>
            <w:r w:rsidRPr="000A3F70">
              <w:rPr>
                <w:rFonts w:ascii="Calibri" w:eastAsia="Times New Roman" w:hAnsi="Calibri" w:cs="Times New Roman"/>
                <w:i/>
                <w:sz w:val="20"/>
                <w:szCs w:val="20"/>
                <w:lang w:val="en-GB" w:eastAsia="en-GB"/>
              </w:rPr>
              <w:t xml:space="preserve"> </w:t>
            </w:r>
            <w:r w:rsidRPr="000A3F70">
              <w:rPr>
                <w:rFonts w:ascii="Calibri" w:eastAsia="Times New Roman" w:hAnsi="Calibri" w:cs="Times New Roman"/>
                <w:sz w:val="20"/>
                <w:szCs w:val="20"/>
                <w:lang w:val="en-GB" w:eastAsia="en-GB"/>
              </w:rPr>
              <w:t xml:space="preserve">and there are appropriate in-service supports in areas such as English language, learning skills, information technology skills and such like, to address the particular needs of international learners and enable such learners </w:t>
            </w:r>
            <w:r w:rsidR="00415B0E">
              <w:rPr>
                <w:rFonts w:ascii="Calibri" w:eastAsia="Times New Roman" w:hAnsi="Calibri" w:cs="Times New Roman"/>
                <w:sz w:val="20"/>
                <w:szCs w:val="20"/>
                <w:lang w:val="en-GB" w:eastAsia="en-GB"/>
              </w:rPr>
              <w:t>t</w:t>
            </w:r>
            <w:r w:rsidR="00AF2FE5">
              <w:rPr>
                <w:rFonts w:ascii="Calibri" w:eastAsia="Times New Roman" w:hAnsi="Calibri" w:cs="Times New Roman"/>
                <w:sz w:val="20"/>
                <w:szCs w:val="20"/>
                <w:lang w:val="en-GB" w:eastAsia="en-GB"/>
              </w:rPr>
              <w:t xml:space="preserve">o </w:t>
            </w:r>
            <w:r w:rsidRPr="000A3F70">
              <w:rPr>
                <w:rFonts w:ascii="Calibri" w:eastAsia="Times New Roman" w:hAnsi="Calibri" w:cs="Times New Roman"/>
                <w:sz w:val="20"/>
                <w:szCs w:val="20"/>
                <w:lang w:val="en-GB" w:eastAsia="en-GB"/>
              </w:rPr>
              <w:t>successfully participate in the programme</w:t>
            </w:r>
            <w:r w:rsidRPr="000A3F70">
              <w:rPr>
                <w:rFonts w:ascii="Calibri" w:eastAsia="Times New Roman" w:hAnsi="Calibri" w:cs="Times New Roman"/>
                <w:sz w:val="20"/>
                <w:szCs w:val="20"/>
                <w:lang w:eastAsia="en-GB"/>
              </w:rPr>
              <w:t xml:space="preserve">. </w:t>
            </w:r>
          </w:p>
        </w:tc>
      </w:tr>
      <w:tr w:rsidR="00472A27" w:rsidRPr="000A3F70" w:rsidTr="001C0F0B">
        <w:tc>
          <w:tcPr>
            <w:tcW w:w="1196" w:type="dxa"/>
          </w:tcPr>
          <w:p w:rsidR="00472A27" w:rsidRPr="000A3F70" w:rsidRDefault="00472A27" w:rsidP="001C0F0B">
            <w:pPr>
              <w:rPr>
                <w:rFonts w:ascii="Calibri" w:eastAsia="Times New Roman" w:hAnsi="Calibri" w:cs="Times New Roman"/>
                <w:sz w:val="20"/>
                <w:szCs w:val="20"/>
                <w:lang w:eastAsia="en-GB"/>
              </w:rPr>
            </w:pPr>
          </w:p>
        </w:tc>
        <w:tc>
          <w:tcPr>
            <w:tcW w:w="3470" w:type="dxa"/>
            <w:shd w:val="clear" w:color="auto" w:fill="auto"/>
          </w:tcPr>
          <w:p w:rsidR="00472A27" w:rsidRPr="000A3F70" w:rsidRDefault="00472A27" w:rsidP="001C0F0B">
            <w:pPr>
              <w:rPr>
                <w:lang w:eastAsia="en-GB"/>
              </w:rPr>
            </w:pPr>
          </w:p>
        </w:tc>
        <w:tc>
          <w:tcPr>
            <w:tcW w:w="4355" w:type="dxa"/>
            <w:shd w:val="clear" w:color="auto" w:fill="DEEAF6" w:themeFill="accent1" w:themeFillTint="33"/>
          </w:tcPr>
          <w:p w:rsidR="00472A27" w:rsidRPr="000A3F70" w:rsidRDefault="00472A27" w:rsidP="00C90305">
            <w:pPr>
              <w:numPr>
                <w:ilvl w:val="0"/>
                <w:numId w:val="10"/>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r>
    </w:tbl>
    <w:p w:rsidR="007C6464" w:rsidRDefault="007C6464" w:rsidP="007C6464"/>
    <w:p w:rsidR="007C6464" w:rsidRPr="00D86505" w:rsidRDefault="00CD18DA" w:rsidP="007C6464">
      <w:r w:rsidRPr="00D86505">
        <w:t>An overview of the support services available to students is outlined in Section 7.10 of this report. T</w:t>
      </w:r>
      <w:r w:rsidR="007C6464" w:rsidRPr="00D86505">
        <w:t>he panel noted that the Student Handbooks and website contained relevant inf</w:t>
      </w:r>
      <w:r w:rsidRPr="00D86505">
        <w:t xml:space="preserve">ormation in relation to </w:t>
      </w:r>
      <w:r w:rsidR="007C6464" w:rsidRPr="00D86505">
        <w:t>the supports and services available to students.  Use was made of noticeboards to provide up-to-date information throughout the campus.</w:t>
      </w:r>
    </w:p>
    <w:p w:rsidR="00CD18DA" w:rsidRPr="00D86505" w:rsidRDefault="00CD18DA" w:rsidP="00CD18DA">
      <w:pPr>
        <w:pStyle w:val="NoSpacing"/>
      </w:pPr>
      <w:r w:rsidRPr="00D86505">
        <w:t>Students and graduates with whom the panel met confirmed that support services are well publicised. Students who have English as a second language reported that supports for areas such as English language, learning skills or information technology skills were provided and well attended. The panel was informed that DBS complies with the Code of Practice for Provision of Programmes to International Students.</w:t>
      </w:r>
    </w:p>
    <w:p w:rsidR="00CD18DA" w:rsidRPr="00CD18DA" w:rsidRDefault="00CD18DA" w:rsidP="00CD18DA">
      <w:pPr>
        <w:pStyle w:val="NoSpacing"/>
        <w:rPr>
          <w:color w:val="C00000"/>
        </w:rPr>
      </w:pPr>
    </w:p>
    <w:p w:rsidR="00D86505" w:rsidRPr="000A3F70" w:rsidRDefault="00023EA4" w:rsidP="00023EA4">
      <w:pPr>
        <w:pStyle w:val="NoSpacing"/>
      </w:pPr>
      <w:r w:rsidRPr="000A3F70">
        <w:t>The panel noted from the Programmatic Review documents that no formal appeals were lodged by students in the period 2015-2018 (up to March). At the sit</w:t>
      </w:r>
      <w:r w:rsidR="00CD18DA">
        <w:t xml:space="preserve">e visit, the panel </w:t>
      </w:r>
      <w:r w:rsidR="00CD18DA" w:rsidRPr="00D86505">
        <w:t>was provided</w:t>
      </w:r>
      <w:r w:rsidRPr="00D86505">
        <w:t xml:space="preserve"> with</w:t>
      </w:r>
      <w:r w:rsidRPr="000A3F70">
        <w:t xml:space="preserve"> an up-to-date review of any appeals lodged and was satisfied that these had been appropriately dealt with in accordance with the Request to View Scripts and Verification of Results processes. These processes have been set out in the Quality Assurance Handbook and </w:t>
      </w:r>
      <w:r w:rsidR="007C6464" w:rsidRPr="000A3F70">
        <w:t>hav</w:t>
      </w:r>
      <w:r w:rsidR="00415B0E">
        <w:t>e been made available to students</w:t>
      </w:r>
      <w:r w:rsidR="007C6464" w:rsidRPr="000A3F70">
        <w:t xml:space="preserve"> via the Exams Office website.</w:t>
      </w:r>
    </w:p>
    <w:p w:rsidR="007C6464" w:rsidRPr="000A3F70" w:rsidRDefault="00CD18DA" w:rsidP="00CD18DA">
      <w:pPr>
        <w:pStyle w:val="NoSpacing"/>
        <w:tabs>
          <w:tab w:val="left" w:pos="5021"/>
        </w:tabs>
      </w:pPr>
      <w:r>
        <w:tab/>
      </w:r>
    </w:p>
    <w:p w:rsidR="00EF24D1" w:rsidRPr="000A3F70" w:rsidRDefault="00EF24D1" w:rsidP="00023EA4">
      <w:pPr>
        <w:pStyle w:val="NoSpacing"/>
      </w:pPr>
    </w:p>
    <w:p w:rsidR="00472A27" w:rsidRPr="000A3F70" w:rsidRDefault="00EF24D1" w:rsidP="00EF24D1">
      <w:pPr>
        <w:pStyle w:val="Heading2"/>
        <w:rPr>
          <w:rFonts w:eastAsia="Times New Roman"/>
          <w:color w:val="auto"/>
        </w:rPr>
      </w:pPr>
      <w:bookmarkStart w:id="85" w:name="_Toc431134565"/>
      <w:bookmarkStart w:id="86" w:name="_Ref436471190"/>
      <w:bookmarkStart w:id="87" w:name="_Toc479176655"/>
      <w:bookmarkStart w:id="88" w:name="_Toc479176742"/>
      <w:bookmarkStart w:id="89" w:name="_Toc513221614"/>
      <w:r w:rsidRPr="000A3F70">
        <w:rPr>
          <w:rFonts w:eastAsia="Times New Roman"/>
          <w:color w:val="auto"/>
        </w:rPr>
        <w:t xml:space="preserve">Criterion 12: </w:t>
      </w:r>
      <w:r w:rsidR="00472A27" w:rsidRPr="000A3F70">
        <w:rPr>
          <w:rFonts w:eastAsia="Times New Roman"/>
          <w:color w:val="auto"/>
        </w:rPr>
        <w:t xml:space="preserve">The programme </w:t>
      </w:r>
      <w:bookmarkEnd w:id="85"/>
      <w:r w:rsidR="00472A27" w:rsidRPr="000A3F70">
        <w:rPr>
          <w:rFonts w:eastAsia="Times New Roman"/>
          <w:color w:val="auto"/>
        </w:rPr>
        <w:t>is well managed</w:t>
      </w:r>
      <w:bookmarkEnd w:id="86"/>
      <w:bookmarkEnd w:id="87"/>
      <w:bookmarkEnd w:id="88"/>
      <w:bookmarkEnd w:id="89"/>
    </w:p>
    <w:tbl>
      <w:tblPr>
        <w:tblStyle w:val="TableGrid"/>
        <w:tblW w:w="0" w:type="auto"/>
        <w:tblInd w:w="-5" w:type="dxa"/>
        <w:tblLook w:val="04A0" w:firstRow="1" w:lastRow="0" w:firstColumn="1" w:lastColumn="0" w:noHBand="0" w:noVBand="1"/>
      </w:tblPr>
      <w:tblGrid>
        <w:gridCol w:w="1196"/>
        <w:gridCol w:w="3471"/>
        <w:gridCol w:w="4354"/>
      </w:tblGrid>
      <w:tr w:rsidR="00472A27" w:rsidRPr="000A3F70" w:rsidTr="001C0F0B">
        <w:tc>
          <w:tcPr>
            <w:tcW w:w="1196" w:type="dxa"/>
            <w:shd w:val="clear" w:color="auto" w:fill="DEEAF6" w:themeFill="accent1" w:themeFillTint="33"/>
          </w:tcPr>
          <w:p w:rsidR="00472A27" w:rsidRPr="000A3F70" w:rsidRDefault="000404A0" w:rsidP="001C0F0B">
            <w:pPr>
              <w:contextualSpacing/>
              <w:rPr>
                <w:rFonts w:ascii="Calibri" w:eastAsia="Times New Roman" w:hAnsi="Calibri" w:cs="Times New Roman"/>
                <w:b/>
                <w:sz w:val="20"/>
                <w:szCs w:val="20"/>
                <w:lang w:val="en-GB"/>
              </w:rPr>
            </w:pPr>
            <w:r>
              <w:rPr>
                <w:rFonts w:ascii="Calibri" w:eastAsia="Times New Roman" w:hAnsi="Calibri" w:cs="Times New Roman"/>
                <w:b/>
                <w:sz w:val="20"/>
                <w:szCs w:val="20"/>
                <w:lang w:val="en-GB"/>
              </w:rPr>
              <w:t xml:space="preserve">Satisfactory   </w:t>
            </w:r>
            <w:r w:rsidRPr="00D86505">
              <w:rPr>
                <w:rFonts w:ascii="Calibri" w:eastAsia="Times New Roman" w:hAnsi="Calibri" w:cs="Times New Roman"/>
                <w:b/>
                <w:sz w:val="20"/>
                <w:szCs w:val="20"/>
                <w:lang w:val="en-GB"/>
              </w:rPr>
              <w:t>Y</w:t>
            </w:r>
            <w:r w:rsidR="00472A27" w:rsidRPr="00D86505">
              <w:rPr>
                <w:rFonts w:ascii="Calibri" w:eastAsia="Times New Roman" w:hAnsi="Calibri" w:cs="Times New Roman"/>
                <w:b/>
                <w:sz w:val="20"/>
                <w:szCs w:val="20"/>
                <w:lang w:val="en-GB"/>
              </w:rPr>
              <w:t>es</w:t>
            </w:r>
          </w:p>
        </w:tc>
        <w:tc>
          <w:tcPr>
            <w:tcW w:w="3471" w:type="dxa"/>
            <w:shd w:val="clear" w:color="auto" w:fill="DEEAF6" w:themeFill="accent1" w:themeFillTint="33"/>
          </w:tcPr>
          <w:p w:rsidR="00472A27" w:rsidRPr="000A3F70" w:rsidRDefault="00472A27" w:rsidP="001C0F0B">
            <w:pPr>
              <w:rPr>
                <w:b/>
                <w:lang w:val="en-GB"/>
              </w:rPr>
            </w:pPr>
            <w:r w:rsidRPr="000A3F70">
              <w:rPr>
                <w:b/>
                <w:lang w:val="en-GB"/>
              </w:rPr>
              <w:t>Comment</w:t>
            </w:r>
          </w:p>
        </w:tc>
        <w:tc>
          <w:tcPr>
            <w:tcW w:w="4354" w:type="dxa"/>
            <w:shd w:val="clear" w:color="auto" w:fill="DEEAF6" w:themeFill="accent1" w:themeFillTint="33"/>
          </w:tcPr>
          <w:p w:rsidR="00472A27" w:rsidRPr="000A3F70" w:rsidRDefault="00472A27" w:rsidP="001C0F0B">
            <w:pPr>
              <w:contextualSpacing/>
              <w:rPr>
                <w:rFonts w:ascii="Calibri" w:eastAsia="Times New Roman" w:hAnsi="Calibri" w:cs="Times New Roman"/>
                <w:b/>
                <w:sz w:val="20"/>
                <w:szCs w:val="20"/>
                <w:lang w:val="en-GB"/>
              </w:rPr>
            </w:pPr>
            <w:r w:rsidRPr="000A3F70">
              <w:rPr>
                <w:rFonts w:ascii="Calibri" w:eastAsia="Times New Roman" w:hAnsi="Calibri" w:cs="Times New Roman"/>
                <w:b/>
                <w:sz w:val="20"/>
                <w:szCs w:val="20"/>
                <w:lang w:val="en-GB"/>
              </w:rPr>
              <w:t>Sub-criteria</w:t>
            </w:r>
          </w:p>
        </w:tc>
      </w:tr>
      <w:tr w:rsidR="00472A27" w:rsidRPr="000A3F70" w:rsidTr="001C0F0B">
        <w:tc>
          <w:tcPr>
            <w:tcW w:w="1196" w:type="dxa"/>
          </w:tcPr>
          <w:p w:rsidR="00472A27" w:rsidRPr="000A3F70" w:rsidRDefault="00472A27" w:rsidP="001C0F0B">
            <w:pPr>
              <w:rPr>
                <w:sz w:val="20"/>
                <w:szCs w:val="20"/>
              </w:rPr>
            </w:pPr>
          </w:p>
        </w:tc>
        <w:tc>
          <w:tcPr>
            <w:tcW w:w="3471" w:type="dxa"/>
            <w:shd w:val="clear" w:color="auto" w:fill="auto"/>
          </w:tcPr>
          <w:p w:rsidR="00472A27" w:rsidRPr="000A3F70" w:rsidRDefault="00472A27" w:rsidP="001C0F0B"/>
        </w:tc>
        <w:tc>
          <w:tcPr>
            <w:tcW w:w="4354" w:type="dxa"/>
            <w:shd w:val="clear" w:color="auto" w:fill="DEEAF6" w:themeFill="accent1" w:themeFillTint="33"/>
          </w:tcPr>
          <w:p w:rsidR="00472A27" w:rsidRPr="000A3F70" w:rsidRDefault="00472A27" w:rsidP="00C90305">
            <w:pPr>
              <w:numPr>
                <w:ilvl w:val="0"/>
                <w:numId w:val="12"/>
              </w:numPr>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rPr>
              <w:t>The programme includes intrinsic governance, quality assurance, learner assessment, and access, transfer and progression procedures that functionally interface with the provider’s general or institutional procedures.</w:t>
            </w:r>
          </w:p>
        </w:tc>
      </w:tr>
      <w:tr w:rsidR="00472A27" w:rsidRPr="000A3F70" w:rsidTr="001C0F0B">
        <w:tc>
          <w:tcPr>
            <w:tcW w:w="1196" w:type="dxa"/>
          </w:tcPr>
          <w:p w:rsidR="00472A27" w:rsidRPr="000A3F70" w:rsidRDefault="00472A27" w:rsidP="001C0F0B">
            <w:pPr>
              <w:rPr>
                <w:sz w:val="20"/>
                <w:szCs w:val="20"/>
                <w:lang w:val="en-GB" w:eastAsia="en-GB"/>
              </w:rPr>
            </w:pPr>
          </w:p>
        </w:tc>
        <w:tc>
          <w:tcPr>
            <w:tcW w:w="3471" w:type="dxa"/>
            <w:shd w:val="clear" w:color="auto" w:fill="auto"/>
          </w:tcPr>
          <w:p w:rsidR="00472A27" w:rsidRPr="000A3F70" w:rsidRDefault="00472A27" w:rsidP="001C0F0B">
            <w:pPr>
              <w:rPr>
                <w:lang w:val="en-GB" w:eastAsia="en-GB"/>
              </w:rPr>
            </w:pPr>
          </w:p>
        </w:tc>
        <w:tc>
          <w:tcPr>
            <w:tcW w:w="4354" w:type="dxa"/>
            <w:shd w:val="clear" w:color="auto" w:fill="DEEAF6" w:themeFill="accent1" w:themeFillTint="33"/>
          </w:tcPr>
          <w:p w:rsidR="00472A27" w:rsidRPr="000A3F70" w:rsidRDefault="00472A27" w:rsidP="00C90305">
            <w:pPr>
              <w:numPr>
                <w:ilvl w:val="0"/>
                <w:numId w:val="12"/>
              </w:numPr>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procedures and criteria for this should be fit-for-the-purpose of identifying which centres are suited to provide the programme and which are not. </w:t>
            </w:r>
          </w:p>
        </w:tc>
      </w:tr>
      <w:tr w:rsidR="00472A27" w:rsidRPr="000A3F70" w:rsidTr="001C0F0B">
        <w:tc>
          <w:tcPr>
            <w:tcW w:w="1196" w:type="dxa"/>
          </w:tcPr>
          <w:p w:rsidR="00472A27" w:rsidRPr="000A3F70" w:rsidRDefault="00472A27" w:rsidP="001C0F0B">
            <w:pPr>
              <w:rPr>
                <w:sz w:val="20"/>
                <w:szCs w:val="20"/>
                <w:lang w:val="en-GB" w:eastAsia="en-GB"/>
              </w:rPr>
            </w:pPr>
          </w:p>
        </w:tc>
        <w:tc>
          <w:tcPr>
            <w:tcW w:w="3471" w:type="dxa"/>
            <w:shd w:val="clear" w:color="auto" w:fill="auto"/>
          </w:tcPr>
          <w:p w:rsidR="00472A27" w:rsidRPr="000A3F70" w:rsidRDefault="00472A27" w:rsidP="001C0F0B">
            <w:pPr>
              <w:rPr>
                <w:lang w:val="en-GB" w:eastAsia="en-GB"/>
              </w:rPr>
            </w:pPr>
          </w:p>
        </w:tc>
        <w:tc>
          <w:tcPr>
            <w:tcW w:w="4354" w:type="dxa"/>
            <w:shd w:val="clear" w:color="auto" w:fill="DEEAF6" w:themeFill="accent1" w:themeFillTint="33"/>
          </w:tcPr>
          <w:p w:rsidR="00472A27" w:rsidRPr="000A3F70" w:rsidRDefault="00472A27" w:rsidP="00C90305">
            <w:pPr>
              <w:numPr>
                <w:ilvl w:val="0"/>
                <w:numId w:val="12"/>
              </w:numPr>
              <w:contextualSpacing/>
              <w:rPr>
                <w:rFonts w:ascii="Calibri" w:eastAsia="Times New Roman" w:hAnsi="Calibri" w:cs="Times New Roman"/>
                <w:sz w:val="20"/>
                <w:szCs w:val="20"/>
                <w:lang w:val="en-GB" w:eastAsia="en-GB"/>
              </w:rPr>
            </w:pPr>
            <w:bookmarkStart w:id="90" w:name="_Ref446082856"/>
            <w:r w:rsidRPr="000A3F70">
              <w:rPr>
                <w:rFonts w:ascii="Calibri" w:eastAsia="Times New Roman" w:hAnsi="Calibri" w:cs="Times New Roman"/>
                <w:sz w:val="20"/>
                <w:szCs w:val="20"/>
                <w:lang w:val="en-GB" w:eastAsia="en-GB"/>
              </w:rPr>
              <w:t>There are explicit and suitable programme-specific criteria for selecting persons who meet the programme’s staffing requirements and can be added to the programme’s complement of staff.</w:t>
            </w:r>
            <w:bookmarkEnd w:id="90"/>
          </w:p>
        </w:tc>
      </w:tr>
      <w:tr w:rsidR="00472A27" w:rsidRPr="000A3F70" w:rsidTr="001C0F0B">
        <w:tc>
          <w:tcPr>
            <w:tcW w:w="1196" w:type="dxa"/>
          </w:tcPr>
          <w:p w:rsidR="00472A27" w:rsidRPr="000A3F70" w:rsidRDefault="00472A27" w:rsidP="001C0F0B">
            <w:pPr>
              <w:rPr>
                <w:sz w:val="20"/>
                <w:szCs w:val="20"/>
                <w:lang w:val="en-GB"/>
              </w:rPr>
            </w:pPr>
          </w:p>
        </w:tc>
        <w:tc>
          <w:tcPr>
            <w:tcW w:w="3471" w:type="dxa"/>
            <w:shd w:val="clear" w:color="auto" w:fill="auto"/>
          </w:tcPr>
          <w:p w:rsidR="00472A27" w:rsidRPr="000A3F70" w:rsidRDefault="00472A27" w:rsidP="001C0F0B">
            <w:pPr>
              <w:rPr>
                <w:lang w:val="en-GB"/>
              </w:rPr>
            </w:pPr>
          </w:p>
        </w:tc>
        <w:tc>
          <w:tcPr>
            <w:tcW w:w="4354" w:type="dxa"/>
            <w:shd w:val="clear" w:color="auto" w:fill="DEEAF6" w:themeFill="accent1" w:themeFillTint="33"/>
          </w:tcPr>
          <w:p w:rsidR="00472A27" w:rsidRPr="000A3F70" w:rsidRDefault="00472A27" w:rsidP="00C90305">
            <w:pPr>
              <w:numPr>
                <w:ilvl w:val="0"/>
                <w:numId w:val="12"/>
              </w:numPr>
              <w:contextualSpacing/>
              <w:rPr>
                <w:rFonts w:ascii="Calibri" w:eastAsia="Times New Roman" w:hAnsi="Calibri" w:cs="Times New Roman"/>
                <w:sz w:val="20"/>
                <w:szCs w:val="20"/>
                <w:lang w:val="en-GB"/>
              </w:rPr>
            </w:pPr>
            <w:bookmarkStart w:id="91" w:name="_Ref446082915"/>
            <w:r w:rsidRPr="000A3F70">
              <w:rPr>
                <w:rFonts w:ascii="Calibri" w:eastAsia="Times New Roman" w:hAnsi="Calibri" w:cs="Times New Roman"/>
                <w:sz w:val="20"/>
                <w:szCs w:val="20"/>
                <w:lang w:val="en-GB"/>
              </w:rPr>
              <w:t>There are explicit and suitable programme-specific criteria for selecting physical resources that meet the programmes physical resource requirements,</w:t>
            </w:r>
            <w:r w:rsidRPr="000A3F70">
              <w:rPr>
                <w:rFonts w:ascii="Calibri" w:eastAsia="Times New Roman" w:hAnsi="Calibri" w:cs="Times New Roman"/>
                <w:sz w:val="20"/>
                <w:szCs w:val="20"/>
              </w:rPr>
              <w:t xml:space="preserve"> </w:t>
            </w:r>
            <w:r w:rsidRPr="000A3F70">
              <w:rPr>
                <w:rFonts w:ascii="Calibri" w:eastAsia="Times New Roman" w:hAnsi="Calibri" w:cs="Times New Roman"/>
                <w:sz w:val="20"/>
                <w:szCs w:val="20"/>
                <w:lang w:val="en-GB"/>
              </w:rPr>
              <w:t>and can be added to the programme’s complement of supported physical resources.</w:t>
            </w:r>
            <w:bookmarkEnd w:id="91"/>
          </w:p>
        </w:tc>
      </w:tr>
      <w:tr w:rsidR="00472A27" w:rsidRPr="000A3F70" w:rsidTr="001C0F0B">
        <w:tc>
          <w:tcPr>
            <w:tcW w:w="1196" w:type="dxa"/>
          </w:tcPr>
          <w:p w:rsidR="00472A27" w:rsidRPr="000A3F70" w:rsidRDefault="00472A27" w:rsidP="001C0F0B">
            <w:pPr>
              <w:rPr>
                <w:sz w:val="20"/>
                <w:szCs w:val="20"/>
                <w:lang w:val="en-GB" w:eastAsia="en-GB"/>
              </w:rPr>
            </w:pPr>
          </w:p>
        </w:tc>
        <w:tc>
          <w:tcPr>
            <w:tcW w:w="3471" w:type="dxa"/>
            <w:shd w:val="clear" w:color="auto" w:fill="auto"/>
          </w:tcPr>
          <w:p w:rsidR="00472A27" w:rsidRPr="000A3F70" w:rsidRDefault="00472A27" w:rsidP="001C0F0B">
            <w:pPr>
              <w:rPr>
                <w:lang w:val="en-GB" w:eastAsia="en-GB"/>
              </w:rPr>
            </w:pPr>
          </w:p>
        </w:tc>
        <w:tc>
          <w:tcPr>
            <w:tcW w:w="4354" w:type="dxa"/>
            <w:shd w:val="clear" w:color="auto" w:fill="DEEAF6" w:themeFill="accent1" w:themeFillTint="33"/>
          </w:tcPr>
          <w:p w:rsidR="00472A27" w:rsidRPr="000A3F70" w:rsidRDefault="00472A27" w:rsidP="00C90305">
            <w:pPr>
              <w:numPr>
                <w:ilvl w:val="0"/>
                <w:numId w:val="12"/>
              </w:numPr>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Quality assurance</w:t>
            </w:r>
            <w:r w:rsidRPr="000A3F70">
              <w:rPr>
                <w:rFonts w:ascii="Calibri" w:eastAsia="Times New Roman" w:hAnsi="Calibri" w:cs="Times New Roman"/>
                <w:sz w:val="20"/>
                <w:szCs w:val="20"/>
                <w:vertAlign w:val="superscript"/>
                <w:lang w:eastAsia="en-GB"/>
              </w:rPr>
              <w:footnoteReference w:id="27"/>
            </w:r>
            <w:r w:rsidRPr="000A3F70">
              <w:rPr>
                <w:rFonts w:ascii="Calibri" w:eastAsia="Times New Roman" w:hAnsi="Calibri" w:cs="Times New Roman"/>
                <w:sz w:val="20"/>
                <w:szCs w:val="20"/>
                <w:lang w:val="en-GB" w:eastAsia="en-GB"/>
              </w:rPr>
              <w:t xml:space="preserve"> is intrinsic to the programme’s maintenance arrangements and addresses all aspects highlighted by the validation criteria.  </w:t>
            </w:r>
          </w:p>
        </w:tc>
      </w:tr>
      <w:tr w:rsidR="00472A27" w:rsidRPr="000A3F70" w:rsidTr="001C0F0B">
        <w:tc>
          <w:tcPr>
            <w:tcW w:w="1196" w:type="dxa"/>
          </w:tcPr>
          <w:p w:rsidR="00472A27" w:rsidRPr="000A3F70" w:rsidRDefault="00472A27" w:rsidP="001C0F0B">
            <w:pPr>
              <w:rPr>
                <w:sz w:val="20"/>
                <w:szCs w:val="20"/>
                <w:lang w:val="en-GB" w:eastAsia="en-GB"/>
              </w:rPr>
            </w:pPr>
          </w:p>
        </w:tc>
        <w:tc>
          <w:tcPr>
            <w:tcW w:w="3471" w:type="dxa"/>
            <w:shd w:val="clear" w:color="auto" w:fill="auto"/>
          </w:tcPr>
          <w:p w:rsidR="00472A27" w:rsidRPr="000A3F70" w:rsidRDefault="00472A27" w:rsidP="001C0F0B">
            <w:pPr>
              <w:rPr>
                <w:lang w:val="en-GB" w:eastAsia="en-GB"/>
              </w:rPr>
            </w:pPr>
          </w:p>
        </w:tc>
        <w:tc>
          <w:tcPr>
            <w:tcW w:w="4354" w:type="dxa"/>
            <w:shd w:val="clear" w:color="auto" w:fill="DEEAF6" w:themeFill="accent1" w:themeFillTint="33"/>
          </w:tcPr>
          <w:p w:rsidR="00472A27" w:rsidRPr="000A3F70" w:rsidRDefault="00472A27" w:rsidP="00C90305">
            <w:pPr>
              <w:numPr>
                <w:ilvl w:val="0"/>
                <w:numId w:val="12"/>
              </w:numPr>
              <w:spacing w:line="256" w:lineRule="auto"/>
              <w:contextualSpacing/>
              <w:rPr>
                <w:rFonts w:ascii="Calibri" w:eastAsia="Times New Roman" w:hAnsi="Calibri" w:cs="Times New Roman"/>
                <w:sz w:val="20"/>
                <w:szCs w:val="20"/>
                <w:lang w:val="en-GB" w:eastAsia="en-GB"/>
              </w:rPr>
            </w:pPr>
            <w:r w:rsidRPr="000A3F70">
              <w:rPr>
                <w:rFonts w:ascii="Calibri" w:eastAsia="Times New Roman" w:hAnsi="Calibri" w:cs="Times New Roman"/>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r>
      <w:tr w:rsidR="00472A27" w:rsidRPr="000A3F70" w:rsidTr="001C0F0B">
        <w:tc>
          <w:tcPr>
            <w:tcW w:w="1196" w:type="dxa"/>
          </w:tcPr>
          <w:p w:rsidR="00472A27" w:rsidRPr="000A3F70" w:rsidRDefault="00472A27" w:rsidP="001C0F0B">
            <w:pPr>
              <w:rPr>
                <w:sz w:val="20"/>
                <w:szCs w:val="20"/>
                <w:lang w:eastAsia="en-GB"/>
              </w:rPr>
            </w:pPr>
          </w:p>
        </w:tc>
        <w:tc>
          <w:tcPr>
            <w:tcW w:w="3471" w:type="dxa"/>
            <w:shd w:val="clear" w:color="auto" w:fill="auto"/>
          </w:tcPr>
          <w:p w:rsidR="00472A27" w:rsidRPr="000A3F70" w:rsidRDefault="00472A27" w:rsidP="001C0F0B">
            <w:pPr>
              <w:rPr>
                <w:lang w:eastAsia="en-GB"/>
              </w:rPr>
            </w:pPr>
          </w:p>
        </w:tc>
        <w:tc>
          <w:tcPr>
            <w:tcW w:w="4354" w:type="dxa"/>
            <w:shd w:val="clear" w:color="auto" w:fill="DEEAF6" w:themeFill="accent1" w:themeFillTint="33"/>
          </w:tcPr>
          <w:p w:rsidR="00472A27" w:rsidRPr="000A3F70" w:rsidRDefault="00472A27" w:rsidP="00C90305">
            <w:pPr>
              <w:numPr>
                <w:ilvl w:val="0"/>
                <w:numId w:val="12"/>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The programme operation and management arrangements are coherently documented and suitable.</w:t>
            </w:r>
          </w:p>
        </w:tc>
      </w:tr>
      <w:tr w:rsidR="00472A27" w:rsidRPr="000A3F70" w:rsidTr="001C0F0B">
        <w:tc>
          <w:tcPr>
            <w:tcW w:w="1196" w:type="dxa"/>
          </w:tcPr>
          <w:p w:rsidR="00472A27" w:rsidRPr="000A3F70" w:rsidRDefault="00472A27" w:rsidP="001C0F0B">
            <w:pPr>
              <w:rPr>
                <w:sz w:val="20"/>
                <w:szCs w:val="20"/>
                <w:lang w:eastAsia="en-GB"/>
              </w:rPr>
            </w:pPr>
          </w:p>
        </w:tc>
        <w:tc>
          <w:tcPr>
            <w:tcW w:w="3471" w:type="dxa"/>
            <w:shd w:val="clear" w:color="auto" w:fill="auto"/>
          </w:tcPr>
          <w:p w:rsidR="00472A27" w:rsidRPr="000A3F70" w:rsidRDefault="00472A27" w:rsidP="001C0F0B">
            <w:pPr>
              <w:rPr>
                <w:lang w:eastAsia="en-GB"/>
              </w:rPr>
            </w:pPr>
          </w:p>
        </w:tc>
        <w:tc>
          <w:tcPr>
            <w:tcW w:w="4354" w:type="dxa"/>
            <w:shd w:val="clear" w:color="auto" w:fill="DEEAF6" w:themeFill="accent1" w:themeFillTint="33"/>
          </w:tcPr>
          <w:p w:rsidR="00472A27" w:rsidRPr="000A3F70" w:rsidRDefault="00472A27" w:rsidP="00C90305">
            <w:pPr>
              <w:numPr>
                <w:ilvl w:val="0"/>
                <w:numId w:val="12"/>
              </w:numPr>
              <w:spacing w:line="256" w:lineRule="auto"/>
              <w:contextualSpacing/>
              <w:rPr>
                <w:rFonts w:ascii="Calibri" w:eastAsia="Times New Roman" w:hAnsi="Calibri" w:cs="Times New Roman"/>
                <w:sz w:val="20"/>
                <w:szCs w:val="20"/>
                <w:lang w:eastAsia="en-GB"/>
              </w:rPr>
            </w:pPr>
            <w:r w:rsidRPr="000A3F70">
              <w:rPr>
                <w:rFonts w:ascii="Calibri" w:eastAsia="Times New Roman" w:hAnsi="Calibri" w:cs="Times New Roman"/>
                <w:sz w:val="20"/>
                <w:szCs w:val="20"/>
                <w:lang w:eastAsia="en-GB"/>
              </w:rPr>
              <w:t xml:space="preserve">There are sound procedures for interface with QQI certification. </w:t>
            </w:r>
          </w:p>
        </w:tc>
      </w:tr>
    </w:tbl>
    <w:p w:rsidR="00472A27" w:rsidRPr="000A3F70" w:rsidRDefault="00472A27" w:rsidP="00EF24D1">
      <w:pPr>
        <w:pStyle w:val="Heading2"/>
        <w:numPr>
          <w:ilvl w:val="0"/>
          <w:numId w:val="0"/>
        </w:numPr>
        <w:rPr>
          <w:rFonts w:asciiTheme="minorHAnsi" w:eastAsiaTheme="minorHAnsi" w:hAnsiTheme="minorHAnsi" w:cstheme="minorBidi"/>
          <w:color w:val="auto"/>
          <w:sz w:val="22"/>
          <w:szCs w:val="22"/>
        </w:rPr>
      </w:pPr>
    </w:p>
    <w:p w:rsidR="00472A27" w:rsidRPr="00D86505" w:rsidRDefault="007C6464" w:rsidP="00472A27">
      <w:r w:rsidRPr="000A3F70">
        <w:t>The panel were satisfied that there are effective structures in place for the governance and management of the programmes under rev</w:t>
      </w:r>
      <w:r w:rsidR="00F32C08">
        <w:t xml:space="preserve">iew. </w:t>
      </w:r>
      <w:r w:rsidR="00F32C08" w:rsidRPr="00D86505">
        <w:t>The QAH contains the governance structures for the College and procedures for access, transfer and progression, learner assessments and supports, and teaching and learning.</w:t>
      </w:r>
    </w:p>
    <w:p w:rsidR="0065569C" w:rsidRPr="00D86505" w:rsidRDefault="00F32C08" w:rsidP="00472A27">
      <w:r w:rsidRPr="00D86505">
        <w:t>It was noted that the QAH and associated policies and procedures have been developed in line with QQI statutory guidelines. The programme-specific quality assurance arrangements are outlined in Section 3.8 of this report.</w:t>
      </w:r>
    </w:p>
    <w:p w:rsidR="00F32C08" w:rsidRDefault="00F32C08" w:rsidP="00472A27">
      <w:pPr>
        <w:rPr>
          <w:color w:val="C00000"/>
        </w:rPr>
      </w:pPr>
    </w:p>
    <w:p w:rsidR="006A2D14" w:rsidRDefault="006A2D14" w:rsidP="00472A27">
      <w:pPr>
        <w:rPr>
          <w:color w:val="C00000"/>
        </w:rPr>
      </w:pPr>
    </w:p>
    <w:p w:rsidR="006A2D14" w:rsidRDefault="006A2D14" w:rsidP="00472A27">
      <w:pPr>
        <w:rPr>
          <w:color w:val="C00000"/>
        </w:rPr>
      </w:pPr>
    </w:p>
    <w:p w:rsidR="006A2D14" w:rsidRDefault="006A2D14" w:rsidP="00472A27">
      <w:pPr>
        <w:rPr>
          <w:color w:val="C00000"/>
        </w:rPr>
      </w:pPr>
    </w:p>
    <w:p w:rsidR="006A2D14" w:rsidRDefault="006A2D14" w:rsidP="00472A27">
      <w:pPr>
        <w:rPr>
          <w:color w:val="C00000"/>
        </w:rPr>
      </w:pPr>
    </w:p>
    <w:p w:rsidR="006A2D14" w:rsidRDefault="006A2D14" w:rsidP="00472A27">
      <w:pPr>
        <w:rPr>
          <w:color w:val="C00000"/>
        </w:rPr>
      </w:pPr>
    </w:p>
    <w:p w:rsidR="006A2D14" w:rsidRDefault="006A2D14" w:rsidP="00472A27">
      <w:pPr>
        <w:rPr>
          <w:color w:val="C00000"/>
        </w:rPr>
      </w:pPr>
    </w:p>
    <w:p w:rsidR="006A2D14" w:rsidRDefault="006A2D14" w:rsidP="00472A27">
      <w:pPr>
        <w:rPr>
          <w:color w:val="C00000"/>
        </w:rPr>
      </w:pPr>
    </w:p>
    <w:p w:rsidR="006A2D14" w:rsidRDefault="006A2D14" w:rsidP="00472A27">
      <w:pPr>
        <w:rPr>
          <w:color w:val="C00000"/>
        </w:rPr>
      </w:pPr>
    </w:p>
    <w:p w:rsidR="006A2D14" w:rsidRDefault="006A2D14" w:rsidP="00472A27">
      <w:pPr>
        <w:rPr>
          <w:color w:val="C00000"/>
        </w:rPr>
      </w:pPr>
    </w:p>
    <w:p w:rsidR="006A2D14" w:rsidRDefault="006A2D14" w:rsidP="00472A27">
      <w:pPr>
        <w:rPr>
          <w:color w:val="C00000"/>
        </w:rPr>
      </w:pPr>
    </w:p>
    <w:p w:rsidR="006A2D14" w:rsidRDefault="006A2D14" w:rsidP="00472A27">
      <w:pPr>
        <w:rPr>
          <w:color w:val="C00000"/>
        </w:rPr>
      </w:pPr>
    </w:p>
    <w:p w:rsidR="006A2D14" w:rsidRPr="00F32C08" w:rsidRDefault="006A2D14" w:rsidP="00472A27">
      <w:pPr>
        <w:rPr>
          <w:color w:val="C00000"/>
        </w:rPr>
      </w:pPr>
    </w:p>
    <w:p w:rsidR="00472A27" w:rsidRPr="000A3F70" w:rsidRDefault="00472A27" w:rsidP="00EF24D1">
      <w:pPr>
        <w:pStyle w:val="Heading1"/>
      </w:pPr>
      <w:bookmarkStart w:id="92" w:name="_Toc479176659"/>
      <w:bookmarkStart w:id="93" w:name="_Toc479176746"/>
      <w:bookmarkStart w:id="94" w:name="_Toc513221615"/>
      <w:r w:rsidRPr="000A3F70">
        <w:t>Overall recommendation to</w:t>
      </w:r>
      <w:bookmarkEnd w:id="92"/>
      <w:bookmarkEnd w:id="93"/>
      <w:r w:rsidR="001E4DCC" w:rsidRPr="000A3F70">
        <w:t xml:space="preserve"> DBS</w:t>
      </w:r>
      <w:bookmarkEnd w:id="94"/>
    </w:p>
    <w:p w:rsidR="00472A27" w:rsidRPr="000A3F70" w:rsidRDefault="00472A27" w:rsidP="00EF24D1">
      <w:pPr>
        <w:pStyle w:val="Heading2"/>
        <w:numPr>
          <w:ilvl w:val="0"/>
          <w:numId w:val="0"/>
        </w:numPr>
        <w:ind w:left="576" w:hanging="576"/>
        <w:rPr>
          <w:color w:val="auto"/>
        </w:rPr>
      </w:pPr>
    </w:p>
    <w:tbl>
      <w:tblPr>
        <w:tblStyle w:val="TableGrid"/>
        <w:tblW w:w="0" w:type="auto"/>
        <w:tblLook w:val="04A0" w:firstRow="1" w:lastRow="0" w:firstColumn="1" w:lastColumn="0" w:noHBand="0" w:noVBand="1"/>
      </w:tblPr>
      <w:tblGrid>
        <w:gridCol w:w="1838"/>
        <w:gridCol w:w="7178"/>
      </w:tblGrid>
      <w:tr w:rsidR="00472A27" w:rsidRPr="000A3F70" w:rsidTr="001C0F0B">
        <w:tc>
          <w:tcPr>
            <w:tcW w:w="1838" w:type="dxa"/>
          </w:tcPr>
          <w:p w:rsidR="00472A27" w:rsidRPr="000A3F70" w:rsidRDefault="00472A27" w:rsidP="001C0F0B">
            <w:r w:rsidRPr="000A3F70">
              <w:t>Select one</w:t>
            </w:r>
          </w:p>
        </w:tc>
        <w:tc>
          <w:tcPr>
            <w:tcW w:w="7178" w:type="dxa"/>
          </w:tcPr>
          <w:p w:rsidR="00472A27" w:rsidRPr="000A3F70" w:rsidRDefault="00472A27" w:rsidP="001C0F0B"/>
        </w:tc>
      </w:tr>
      <w:tr w:rsidR="00472A27" w:rsidRPr="000A3F70" w:rsidTr="001C0F0B">
        <w:tc>
          <w:tcPr>
            <w:tcW w:w="1838" w:type="dxa"/>
          </w:tcPr>
          <w:p w:rsidR="00472A27" w:rsidRPr="00D86505" w:rsidRDefault="007C6464" w:rsidP="001C0F0B">
            <w:r w:rsidRPr="00D86505">
              <w:t>Satisfactory</w:t>
            </w:r>
          </w:p>
        </w:tc>
        <w:tc>
          <w:tcPr>
            <w:tcW w:w="7178" w:type="dxa"/>
          </w:tcPr>
          <w:p w:rsidR="00472A27" w:rsidRPr="000A3F70" w:rsidRDefault="00472A27" w:rsidP="001C0F0B">
            <w:r w:rsidRPr="000A3F70">
              <w:t>Satisfactory (meaning that it recommends that QQI can be satisfied in the context of unit 2.3) of Core policies and criteria for the validation by QQI of programmes of education and training;</w:t>
            </w:r>
          </w:p>
        </w:tc>
      </w:tr>
      <w:tr w:rsidR="00472A27" w:rsidRPr="000A3F70" w:rsidTr="001C0F0B">
        <w:tc>
          <w:tcPr>
            <w:tcW w:w="1838" w:type="dxa"/>
          </w:tcPr>
          <w:p w:rsidR="00472A27" w:rsidRPr="000A3F70" w:rsidRDefault="00472A27" w:rsidP="001C0F0B"/>
        </w:tc>
        <w:tc>
          <w:tcPr>
            <w:tcW w:w="7178" w:type="dxa"/>
          </w:tcPr>
          <w:p w:rsidR="00472A27" w:rsidRPr="000A3F70" w:rsidRDefault="00472A27" w:rsidP="001C0F0B">
            <w:r w:rsidRPr="000A3F70">
              <w:t>Satisfactory subject to proposed special conditions (specified with timescale for compliance for each condition; these may include proposed pre-validation conditions i.e. proposed (</w:t>
            </w:r>
            <w:r w:rsidRPr="000A3F70">
              <w:rPr>
                <w:b/>
                <w:u w:val="single"/>
              </w:rPr>
              <w:t>minor</w:t>
            </w:r>
            <w:r w:rsidRPr="000A3F70">
              <w:t>) things to be done to a programme that almost fully meets the validation criteria before QQI makes a determination);</w:t>
            </w:r>
            <w:r w:rsidRPr="000A3F70">
              <w:rPr>
                <w:rStyle w:val="FootnoteReference"/>
              </w:rPr>
              <w:footnoteReference w:id="28"/>
            </w:r>
          </w:p>
        </w:tc>
      </w:tr>
      <w:tr w:rsidR="00472A27" w:rsidRPr="000A3F70" w:rsidTr="001C0F0B">
        <w:tc>
          <w:tcPr>
            <w:tcW w:w="1838" w:type="dxa"/>
          </w:tcPr>
          <w:p w:rsidR="00472A27" w:rsidRPr="000A3F70" w:rsidRDefault="00472A27" w:rsidP="001C0F0B"/>
        </w:tc>
        <w:tc>
          <w:tcPr>
            <w:tcW w:w="7178" w:type="dxa"/>
          </w:tcPr>
          <w:p w:rsidR="00472A27" w:rsidRPr="000A3F70" w:rsidRDefault="00472A27" w:rsidP="001C0F0B">
            <w:r w:rsidRPr="000A3F70">
              <w:t>Not satisfactory.</w:t>
            </w:r>
          </w:p>
        </w:tc>
      </w:tr>
    </w:tbl>
    <w:p w:rsidR="00472A27" w:rsidRPr="000A3F70" w:rsidRDefault="00472A27" w:rsidP="00EF24D1">
      <w:pPr>
        <w:pStyle w:val="Heading2"/>
        <w:rPr>
          <w:color w:val="auto"/>
        </w:rPr>
      </w:pPr>
      <w:bookmarkStart w:id="95" w:name="_Toc513221616"/>
      <w:r w:rsidRPr="000A3F70">
        <w:rPr>
          <w:color w:val="auto"/>
        </w:rPr>
        <w:t>Reasons</w:t>
      </w:r>
      <w:r w:rsidRPr="000A3F70">
        <w:rPr>
          <w:rStyle w:val="FootnoteReference"/>
          <w:color w:val="auto"/>
        </w:rPr>
        <w:footnoteReference w:id="29"/>
      </w:r>
      <w:r w:rsidRPr="000A3F70">
        <w:rPr>
          <w:color w:val="auto"/>
        </w:rPr>
        <w:t xml:space="preserve"> for the overall recommendation</w:t>
      </w:r>
      <w:bookmarkEnd w:id="95"/>
    </w:p>
    <w:p w:rsidR="00EF24D1" w:rsidRPr="00D86505" w:rsidRDefault="003A76B3" w:rsidP="00EF24D1">
      <w:bookmarkStart w:id="96" w:name="_Toc479176663"/>
      <w:bookmarkStart w:id="97" w:name="_Toc479176750"/>
      <w:r>
        <w:t xml:space="preserve">The </w:t>
      </w:r>
      <w:r w:rsidRPr="009C7C20">
        <w:t>panel concluded</w:t>
      </w:r>
      <w:r w:rsidR="00EF24D1" w:rsidRPr="009C7C20">
        <w:t xml:space="preserve"> </w:t>
      </w:r>
      <w:r w:rsidR="00EF24D1" w:rsidRPr="00D86505">
        <w:t>that</w:t>
      </w:r>
      <w:r w:rsidR="00131E67" w:rsidRPr="00D86505">
        <w:t xml:space="preserve"> the criteria have been</w:t>
      </w:r>
      <w:r w:rsidR="00EF24D1" w:rsidRPr="00D86505">
        <w:t xml:space="preserve"> met.</w:t>
      </w:r>
    </w:p>
    <w:p w:rsidR="001E4DCC" w:rsidRPr="000A3F70" w:rsidRDefault="00472A27" w:rsidP="00EF24D1">
      <w:pPr>
        <w:pStyle w:val="Heading2"/>
        <w:rPr>
          <w:color w:val="auto"/>
        </w:rPr>
      </w:pPr>
      <w:bookmarkStart w:id="98" w:name="_Toc513221617"/>
      <w:r w:rsidRPr="000A3F70">
        <w:rPr>
          <w:color w:val="auto"/>
        </w:rPr>
        <w:t>Summary of recommend</w:t>
      </w:r>
      <w:bookmarkEnd w:id="96"/>
      <w:bookmarkEnd w:id="97"/>
      <w:r w:rsidR="001E4DCC" w:rsidRPr="000A3F70">
        <w:rPr>
          <w:color w:val="auto"/>
        </w:rPr>
        <w:t>ations</w:t>
      </w:r>
      <w:bookmarkEnd w:id="98"/>
    </w:p>
    <w:p w:rsidR="001E4DCC" w:rsidRPr="0008667A" w:rsidRDefault="00623929" w:rsidP="00623929">
      <w:pPr>
        <w:spacing w:after="0"/>
        <w:ind w:left="360"/>
        <w:rPr>
          <w:color w:val="C00000"/>
        </w:rPr>
      </w:pPr>
      <w:r w:rsidRPr="000A3F70">
        <w:t xml:space="preserve">1. </w:t>
      </w:r>
      <w:r w:rsidRPr="00D86505">
        <w:t>The</w:t>
      </w:r>
      <w:r w:rsidR="001E4DCC" w:rsidRPr="00D86505">
        <w:t xml:space="preserve"> curriculum</w:t>
      </w:r>
      <w:r w:rsidR="0008667A" w:rsidRPr="00D86505">
        <w:t xml:space="preserve"> of the MA in Addiction Studies</w:t>
      </w:r>
      <w:r w:rsidR="001E4DCC" w:rsidRPr="00D86505">
        <w:t xml:space="preserve"> be reviewed to ensure greater conceptual integration and oversight.</w:t>
      </w:r>
    </w:p>
    <w:p w:rsidR="001E4DCC" w:rsidRPr="000A3F70" w:rsidRDefault="00623929" w:rsidP="00623929">
      <w:pPr>
        <w:spacing w:after="0"/>
        <w:ind w:left="360"/>
      </w:pPr>
      <w:r w:rsidRPr="000A3F70">
        <w:t>2. Appropriate</w:t>
      </w:r>
      <w:r w:rsidR="001E4DCC" w:rsidRPr="000A3F70">
        <w:t xml:space="preserve"> supports are put in place for staff development in the area of research activity and outputs.</w:t>
      </w:r>
    </w:p>
    <w:p w:rsidR="001E4DCC" w:rsidRPr="00D86505" w:rsidRDefault="00623929" w:rsidP="00623929">
      <w:pPr>
        <w:spacing w:after="0"/>
        <w:ind w:left="360"/>
      </w:pPr>
      <w:r w:rsidRPr="00CF298B">
        <w:t>3. Core</w:t>
      </w:r>
      <w:r w:rsidR="001E4DCC" w:rsidRPr="00CF298B">
        <w:t xml:space="preserve"> texts</w:t>
      </w:r>
      <w:r w:rsidR="001E4DCC" w:rsidRPr="00D86505">
        <w:t xml:space="preserve"> on the</w:t>
      </w:r>
      <w:r w:rsidR="002A4155" w:rsidRPr="00D86505">
        <w:t xml:space="preserve"> MA in Addiction Studies</w:t>
      </w:r>
      <w:r w:rsidR="001E4DCC" w:rsidRPr="00D86505">
        <w:t xml:space="preserve"> be updated to ref</w:t>
      </w:r>
      <w:r w:rsidR="00100981" w:rsidRPr="00D86505">
        <w:t xml:space="preserve">lect current thinking and more recent </w:t>
      </w:r>
      <w:r w:rsidR="00CF298B">
        <w:t>publications, where appropriate.</w:t>
      </w:r>
    </w:p>
    <w:p w:rsidR="001E4DCC" w:rsidRPr="000A3F70" w:rsidRDefault="00CF298B" w:rsidP="00CF298B">
      <w:pPr>
        <w:tabs>
          <w:tab w:val="left" w:pos="3000"/>
        </w:tabs>
        <w:spacing w:after="0"/>
        <w:ind w:left="360"/>
      </w:pPr>
      <w:r>
        <w:tab/>
      </w:r>
    </w:p>
    <w:p w:rsidR="00623929" w:rsidRPr="000A3F70" w:rsidRDefault="001E4DCC" w:rsidP="00623929">
      <w:pPr>
        <w:pStyle w:val="Heading2"/>
        <w:rPr>
          <w:color w:val="auto"/>
        </w:rPr>
      </w:pPr>
      <w:bookmarkStart w:id="99" w:name="_Toc513221618"/>
      <w:r w:rsidRPr="000A3F70">
        <w:rPr>
          <w:color w:val="auto"/>
        </w:rPr>
        <w:t>Summary of Commendations</w:t>
      </w:r>
      <w:bookmarkEnd w:id="99"/>
    </w:p>
    <w:p w:rsidR="00C678EF" w:rsidRDefault="00623929" w:rsidP="00623929">
      <w:pPr>
        <w:ind w:left="432" w:right="-46"/>
        <w:rPr>
          <w:color w:val="C00000"/>
        </w:rPr>
      </w:pPr>
      <w:r w:rsidRPr="0005598B">
        <w:t>1. The</w:t>
      </w:r>
      <w:r w:rsidR="002A4155" w:rsidRPr="0005598B">
        <w:t xml:space="preserve"> panel commends</w:t>
      </w:r>
      <w:r w:rsidR="001E4DCC" w:rsidRPr="0005598B">
        <w:t xml:space="preserve"> the proactive </w:t>
      </w:r>
      <w:r w:rsidRPr="0005598B">
        <w:t>leadership being</w:t>
      </w:r>
      <w:r w:rsidR="002A4155" w:rsidRPr="0005598B">
        <w:t xml:space="preserve"> shown</w:t>
      </w:r>
      <w:r w:rsidR="001E4DCC" w:rsidRPr="0005598B">
        <w:t xml:space="preserve"> by </w:t>
      </w:r>
      <w:r w:rsidR="002A4155" w:rsidRPr="0005598B">
        <w:t>the Head Librarian</w:t>
      </w:r>
      <w:r w:rsidR="001E4DCC" w:rsidRPr="0005598B">
        <w:t xml:space="preserve"> as well </w:t>
      </w:r>
      <w:r w:rsidRPr="0005598B">
        <w:t>as the</w:t>
      </w:r>
      <w:r w:rsidR="002A4155" w:rsidRPr="00D86505">
        <w:t xml:space="preserve"> on</w:t>
      </w:r>
      <w:r w:rsidR="001E4DCC" w:rsidRPr="00D86505">
        <w:t>going development of the library facilities for students and staff.</w:t>
      </w:r>
      <w:r w:rsidR="00472A27" w:rsidRPr="00D86505">
        <w:tab/>
      </w:r>
      <w:r w:rsidR="00472A27" w:rsidRPr="002A4155">
        <w:rPr>
          <w:color w:val="C00000"/>
        </w:rPr>
        <w:tab/>
      </w:r>
      <w:r w:rsidR="00472A27" w:rsidRPr="002A4155">
        <w:rPr>
          <w:color w:val="C00000"/>
        </w:rPr>
        <w:tab/>
      </w:r>
      <w:r w:rsidR="00472A27" w:rsidRPr="002A4155">
        <w:rPr>
          <w:color w:val="C00000"/>
        </w:rPr>
        <w:tab/>
      </w:r>
      <w:r w:rsidR="00472A27" w:rsidRPr="002A4155">
        <w:rPr>
          <w:color w:val="C00000"/>
        </w:rPr>
        <w:tab/>
      </w:r>
    </w:p>
    <w:p w:rsidR="00472A27" w:rsidRPr="002A4155" w:rsidRDefault="00C678EF" w:rsidP="00C678EF">
      <w:pPr>
        <w:rPr>
          <w:color w:val="C00000"/>
        </w:rPr>
      </w:pPr>
      <w:r>
        <w:rPr>
          <w:color w:val="C00000"/>
        </w:rPr>
        <w:br w:type="page"/>
      </w:r>
    </w:p>
    <w:p w:rsidR="00472A27" w:rsidRPr="000A3F70" w:rsidRDefault="00472A27" w:rsidP="00623929">
      <w:pPr>
        <w:pStyle w:val="Heading1"/>
        <w:rPr>
          <w:rFonts w:asciiTheme="majorHAnsi" w:hAnsiTheme="majorHAnsi"/>
          <w:sz w:val="26"/>
          <w:szCs w:val="26"/>
        </w:rPr>
      </w:pPr>
      <w:bookmarkStart w:id="100" w:name="_Toc479176665"/>
      <w:bookmarkStart w:id="101" w:name="_Toc479176752"/>
      <w:bookmarkStart w:id="102" w:name="_Toc513221619"/>
      <w:r w:rsidRPr="000A3F70">
        <w:rPr>
          <w:rFonts w:asciiTheme="majorHAnsi" w:hAnsiTheme="majorHAnsi"/>
          <w:sz w:val="26"/>
          <w:szCs w:val="26"/>
        </w:rPr>
        <w:t>Declarations of Evaluators’ Interests</w:t>
      </w:r>
      <w:bookmarkEnd w:id="100"/>
      <w:bookmarkEnd w:id="101"/>
      <w:bookmarkEnd w:id="102"/>
    </w:p>
    <w:p w:rsidR="00472A27" w:rsidRDefault="00472A27" w:rsidP="00472A27">
      <w:r w:rsidRPr="000A3F70">
        <w:t xml:space="preserve">This report has been agreed by the evaluation panel and is signed on their behalf by the chairperson. </w:t>
      </w:r>
    </w:p>
    <w:p w:rsidR="0065569C" w:rsidRPr="000A3F70" w:rsidRDefault="0065569C" w:rsidP="00472A27"/>
    <w:p w:rsidR="00472A27" w:rsidRPr="000A3F70" w:rsidRDefault="00C678EF" w:rsidP="00472A27">
      <w:r>
        <w:t>Donna Bell</w:t>
      </w:r>
    </w:p>
    <w:p w:rsidR="00C678EF" w:rsidRPr="000A3F70" w:rsidRDefault="00472A27" w:rsidP="00472A27">
      <w:r w:rsidRPr="000A3F70">
        <w:t xml:space="preserve">Panel chairperson:  </w:t>
      </w:r>
      <w:r w:rsidRPr="000A3F70">
        <w:tab/>
      </w:r>
      <w:r w:rsidRPr="000A3F70">
        <w:tab/>
      </w:r>
      <w:r w:rsidRPr="000A3F70">
        <w:tab/>
      </w:r>
      <w:r w:rsidRPr="000A3F70">
        <w:tab/>
        <w:t xml:space="preserve">Date: </w:t>
      </w:r>
      <w:r w:rsidR="00C678EF">
        <w:t>4</w:t>
      </w:r>
      <w:r w:rsidR="00C678EF" w:rsidRPr="00C678EF">
        <w:rPr>
          <w:vertAlign w:val="superscript"/>
        </w:rPr>
        <w:t>th</w:t>
      </w:r>
      <w:r w:rsidR="00C678EF">
        <w:t xml:space="preserve"> May 2018</w:t>
      </w:r>
    </w:p>
    <w:p w:rsidR="00C678EF" w:rsidRDefault="00472A27" w:rsidP="00472A27">
      <w:r w:rsidRPr="000A3F70">
        <w:t xml:space="preserve">Signed:     </w:t>
      </w:r>
    </w:p>
    <w:p w:rsidR="00C678EF" w:rsidRDefault="00C678EF" w:rsidP="00C678EF">
      <w:r>
        <w:rPr>
          <w:noProof/>
          <w:lang w:eastAsia="en-IE"/>
        </w:rPr>
        <w:drawing>
          <wp:inline distT="0" distB="0" distL="0" distR="0">
            <wp:extent cx="819785" cy="379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379730"/>
                    </a:xfrm>
                    <a:prstGeom prst="rect">
                      <a:avLst/>
                    </a:prstGeom>
                    <a:noFill/>
                    <a:ln>
                      <a:noFill/>
                    </a:ln>
                  </pic:spPr>
                </pic:pic>
              </a:graphicData>
            </a:graphic>
          </wp:inline>
        </w:drawing>
      </w:r>
    </w:p>
    <w:p w:rsidR="00472A27" w:rsidRPr="000A3F70" w:rsidRDefault="00472A27" w:rsidP="00472A27">
      <w:r w:rsidRPr="000A3F70">
        <w:t xml:space="preserve">                                 </w:t>
      </w:r>
      <w:r w:rsidR="00C678EF">
        <w:t xml:space="preserve">                              </w:t>
      </w:r>
      <w:r w:rsidR="00C678EF">
        <w:tab/>
      </w:r>
    </w:p>
    <w:p w:rsidR="00472A27" w:rsidRPr="00BF0960" w:rsidRDefault="00472A27" w:rsidP="00BF0960">
      <w:pPr>
        <w:pStyle w:val="Heading2"/>
        <w:rPr>
          <w:color w:val="auto"/>
        </w:rPr>
      </w:pPr>
      <w:bookmarkStart w:id="103" w:name="_Toc479176666"/>
      <w:bookmarkStart w:id="104" w:name="_Toc479176753"/>
      <w:bookmarkStart w:id="105" w:name="_Toc513221620"/>
      <w:r w:rsidRPr="00BF0960">
        <w:rPr>
          <w:color w:val="auto"/>
        </w:rPr>
        <w:t>Disclaimer</w:t>
      </w:r>
      <w:bookmarkEnd w:id="103"/>
      <w:bookmarkEnd w:id="104"/>
      <w:bookmarkEnd w:id="105"/>
    </w:p>
    <w:p w:rsidR="00472A27" w:rsidRPr="000A3F70" w:rsidRDefault="00472A27" w:rsidP="00472A27">
      <w:r w:rsidRPr="000A3F70">
        <w:t xml:space="preserve">The Report of the External Review Panel contains no assurances, warranties or representations express or implied, regarding the aforesaid issues, or any other issues outside the Terms of Reference. </w:t>
      </w:r>
    </w:p>
    <w:p w:rsidR="00472A27" w:rsidRPr="000A3F70" w:rsidRDefault="00472A27" w:rsidP="00472A27">
      <w:r w:rsidRPr="000A3F70">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rsidR="00472A27" w:rsidRPr="000A3F70" w:rsidRDefault="00472A27" w:rsidP="00472A27"/>
    <w:p w:rsidR="00472A27" w:rsidRPr="000A3F70" w:rsidRDefault="00472A27" w:rsidP="00472A27">
      <w:pPr>
        <w:sectPr w:rsidR="00472A27" w:rsidRPr="000A3F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472A27" w:rsidRPr="000A3F70" w:rsidRDefault="00472A27" w:rsidP="000A3F70">
      <w:pPr>
        <w:pStyle w:val="Heading1"/>
        <w:numPr>
          <w:ilvl w:val="0"/>
          <w:numId w:val="0"/>
        </w:numPr>
        <w:ind w:left="432" w:hanging="432"/>
      </w:pPr>
      <w:bookmarkStart w:id="106" w:name="_Toc479176667"/>
      <w:bookmarkStart w:id="107" w:name="_Toc479176754"/>
      <w:bookmarkStart w:id="108" w:name="_Toc513221621"/>
      <w:r w:rsidRPr="000A3F70">
        <w:t>Part 3: Proposed programme schedules</w:t>
      </w:r>
      <w:bookmarkEnd w:id="106"/>
      <w:bookmarkEnd w:id="107"/>
      <w:bookmarkEnd w:id="108"/>
    </w:p>
    <w:p w:rsidR="000A3F70" w:rsidRPr="000A3F70" w:rsidRDefault="000A3F70" w:rsidP="000A3F70">
      <w:pPr>
        <w:pStyle w:val="Heading1"/>
      </w:pPr>
      <w:bookmarkStart w:id="109" w:name="_Toc513221622"/>
      <w:r w:rsidRPr="000A3F70">
        <w:t>Proposed programme and stage schedules</w:t>
      </w:r>
      <w:r>
        <w:t xml:space="preserve"> </w:t>
      </w:r>
      <w:r w:rsidRPr="000A3F70">
        <w:t>MA in Psychoanalytic Psychotherapy</w:t>
      </w:r>
      <w:bookmarkEnd w:id="109"/>
    </w:p>
    <w:tbl>
      <w:tblPr>
        <w:tblW w:w="0" w:type="auto"/>
        <w:tblCellMar>
          <w:top w:w="15" w:type="dxa"/>
          <w:left w:w="15" w:type="dxa"/>
          <w:bottom w:w="15" w:type="dxa"/>
          <w:right w:w="15" w:type="dxa"/>
        </w:tblCellMar>
        <w:tblLook w:val="04A0" w:firstRow="1" w:lastRow="0" w:firstColumn="1" w:lastColumn="0" w:noHBand="0" w:noVBand="1"/>
      </w:tblPr>
      <w:tblGrid>
        <w:gridCol w:w="719"/>
        <w:gridCol w:w="748"/>
        <w:gridCol w:w="1030"/>
        <w:gridCol w:w="661"/>
        <w:gridCol w:w="902"/>
        <w:gridCol w:w="853"/>
        <w:gridCol w:w="768"/>
        <w:gridCol w:w="989"/>
        <w:gridCol w:w="476"/>
        <w:gridCol w:w="476"/>
        <w:gridCol w:w="1311"/>
        <w:gridCol w:w="999"/>
        <w:gridCol w:w="515"/>
        <w:gridCol w:w="1030"/>
        <w:gridCol w:w="737"/>
        <w:gridCol w:w="737"/>
        <w:gridCol w:w="997"/>
      </w:tblGrid>
      <w:tr w:rsidR="000A3F70" w:rsidRPr="000A3F70" w:rsidTr="000A3F70">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Name of Provider:</w:t>
            </w:r>
          </w:p>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Dublin Business School</w:t>
            </w:r>
          </w:p>
        </w:tc>
      </w:tr>
      <w:tr w:rsidR="000A3F70" w:rsidRPr="000A3F70" w:rsidTr="000A3F70">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Programme Title</w:t>
            </w:r>
          </w:p>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Master of Arts in Psychoanalytic Psychotherapy</w:t>
            </w:r>
          </w:p>
        </w:tc>
      </w:tr>
      <w:tr w:rsidR="000A3F70" w:rsidRPr="000A3F70" w:rsidTr="000A3F70">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Award Title</w:t>
            </w:r>
          </w:p>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 xml:space="preserve">Master of Arts </w:t>
            </w:r>
          </w:p>
        </w:tc>
      </w:tr>
      <w:tr w:rsidR="000A3F70" w:rsidRPr="000A3F70" w:rsidTr="000A3F70">
        <w:trPr>
          <w:trHeight w:val="2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Stage Exit Award Title</w:t>
            </w:r>
            <w:r w:rsidRPr="000A3F70">
              <w:rPr>
                <w:rFonts w:ascii="Calibri" w:hAnsi="Calibri" w:cs="Calibri"/>
                <w:b/>
                <w:bCs/>
                <w:sz w:val="16"/>
                <w:szCs w:val="16"/>
                <w:vertAlign w:val="superscript"/>
              </w:rPr>
              <w:t>3</w:t>
            </w:r>
          </w:p>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Master of Arts  in Psychoanalytic Psychotherapy</w:t>
            </w:r>
          </w:p>
        </w:tc>
      </w:tr>
      <w:tr w:rsidR="000A3F70" w:rsidRPr="000A3F70" w:rsidTr="000A3F70">
        <w:trPr>
          <w:trHeight w:val="1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Modes of Delivery (FT/PT):</w:t>
            </w:r>
          </w:p>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PT</w:t>
            </w:r>
          </w:p>
        </w:tc>
      </w:tr>
      <w:tr w:rsidR="000A3F70" w:rsidRPr="000A3F70" w:rsidTr="000A3F70">
        <w:trPr>
          <w:trHeight w:val="1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Teaching and learning modalities</w:t>
            </w:r>
          </w:p>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Class room lecture; Psychiatric Case Conference; Seminar; Tutorial; Placement Experience; Infant Observation; Group Supervision; Individual Supervision</w:t>
            </w:r>
          </w:p>
        </w:tc>
      </w:tr>
      <w:tr w:rsidR="000A3F70" w:rsidRPr="000A3F70" w:rsidTr="000A3F70">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b/>
                <w:bCs/>
                <w:sz w:val="16"/>
                <w:szCs w:val="16"/>
              </w:rPr>
              <w:t>Award Class</w:t>
            </w:r>
            <w:r w:rsidRPr="000A3F70">
              <w:rPr>
                <w:rFonts w:ascii="Calibri" w:hAnsi="Calibri" w:cs="Calibri"/>
                <w:b/>
                <w:bCs/>
                <w:sz w:val="16"/>
                <w:szCs w:val="16"/>
                <w:vertAlign w:val="superscript"/>
              </w:rPr>
              <w:t>4</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b/>
                <w:bCs/>
                <w:sz w:val="16"/>
                <w:szCs w:val="16"/>
              </w:rPr>
              <w:t>Award NFQ level</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b/>
                <w:bCs/>
                <w:sz w:val="16"/>
                <w:szCs w:val="16"/>
              </w:rPr>
              <w:t>Award EQF Level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b/>
                <w:bCs/>
                <w:sz w:val="16"/>
                <w:szCs w:val="16"/>
              </w:rPr>
              <w:t xml:space="preserve">Stage </w:t>
            </w:r>
            <w:r w:rsidRPr="000A3F70">
              <w:rPr>
                <w:rFonts w:ascii="Calibri" w:hAnsi="Calibri" w:cs="Calibri"/>
                <w:sz w:val="16"/>
                <w:szCs w:val="16"/>
              </w:rPr>
              <w:t>(1, 2, 3, 4, …, or Award Stage)</w:t>
            </w:r>
            <w:r w:rsidRPr="000A3F70">
              <w:rPr>
                <w:rFonts w:ascii="Calibri" w:hAnsi="Calibri" w:cs="Calibri"/>
                <w:b/>
                <w:bCs/>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b/>
                <w:bCs/>
                <w:sz w:val="16"/>
                <w:szCs w:val="16"/>
              </w:rPr>
              <w:t>Stage NFQ Level</w:t>
            </w:r>
            <w:r w:rsidRPr="000A3F70">
              <w:rPr>
                <w:rFonts w:ascii="Calibri" w:hAnsi="Calibri" w:cs="Calibri"/>
                <w:b/>
                <w:bCs/>
                <w:sz w:val="16"/>
                <w:szCs w:val="16"/>
                <w:vertAlign w:val="superscript"/>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b/>
                <w:bCs/>
                <w:sz w:val="16"/>
                <w:szCs w:val="16"/>
              </w:rPr>
              <w:t>Stage EQF Level</w:t>
            </w:r>
            <w:r w:rsidRPr="000A3F70">
              <w:rPr>
                <w:rFonts w:ascii="Calibri" w:hAnsi="Calibri" w:cs="Calibri"/>
                <w:b/>
                <w:bCs/>
                <w:sz w:val="16"/>
                <w:szCs w:val="16"/>
                <w:vertAlign w:val="superscript"/>
              </w:rPr>
              <w:t>2</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b/>
                <w:bCs/>
                <w:sz w:val="16"/>
                <w:szCs w:val="16"/>
              </w:rPr>
              <w:t>Stage Credit(ECTS)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b/>
                <w:bCs/>
                <w:sz w:val="16"/>
                <w:szCs w:val="16"/>
              </w:rPr>
              <w:t>Date Effective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0A3F70" w:rsidRPr="000A3F70" w:rsidRDefault="000A3F70">
            <w:pPr>
              <w:pStyle w:val="NormalWeb"/>
              <w:spacing w:before="0" w:beforeAutospacing="0" w:after="0" w:afterAutospacing="0"/>
              <w:ind w:hanging="102"/>
              <w:jc w:val="center"/>
            </w:pPr>
            <w:r w:rsidRPr="000A3F70">
              <w:rPr>
                <w:rFonts w:ascii="Calibri" w:hAnsi="Calibri" w:cs="Calibri"/>
                <w:b/>
                <w:bCs/>
                <w:sz w:val="16"/>
                <w:szCs w:val="16"/>
              </w:rPr>
              <w:t>ISCED</w:t>
            </w:r>
          </w:p>
          <w:p w:rsidR="000A3F70" w:rsidRPr="000A3F70" w:rsidRDefault="000A3F70">
            <w:pPr>
              <w:pStyle w:val="NormalWeb"/>
              <w:spacing w:before="0" w:beforeAutospacing="0" w:after="0" w:afterAutospacing="0"/>
              <w:jc w:val="center"/>
            </w:pPr>
            <w:r w:rsidRPr="000A3F70">
              <w:rPr>
                <w:rFonts w:ascii="Calibri" w:hAnsi="Calibri" w:cs="Calibri"/>
                <w:b/>
                <w:bCs/>
                <w:sz w:val="16"/>
                <w:szCs w:val="16"/>
              </w:rPr>
              <w:t>Subject code</w:t>
            </w:r>
          </w:p>
        </w:tc>
      </w:tr>
      <w:tr w:rsidR="000A3F70" w:rsidRPr="000A3F70" w:rsidTr="000A3F70">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Major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Award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7</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w:t>
            </w:r>
            <w:r w:rsidRPr="000A3F70">
              <w:rPr>
                <w:rFonts w:ascii="Calibri" w:hAnsi="Calibri" w:cs="Calibri"/>
                <w:sz w:val="10"/>
                <w:szCs w:val="10"/>
                <w:vertAlign w:val="superscript"/>
              </w:rPr>
              <w:t>st</w:t>
            </w:r>
            <w:r w:rsidRPr="000A3F70">
              <w:rPr>
                <w:rFonts w:ascii="Calibri" w:hAnsi="Calibri" w:cs="Calibri"/>
                <w:sz w:val="16"/>
                <w:szCs w:val="16"/>
              </w:rPr>
              <w:t xml:space="preserve"> Sept 2018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0215</w:t>
            </w:r>
          </w:p>
        </w:tc>
      </w:tr>
      <w:tr w:rsidR="000A3F70" w:rsidRPr="000A3F70" w:rsidTr="000A3F70">
        <w:trPr>
          <w:trHeight w:val="52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Module Title</w:t>
            </w:r>
          </w:p>
          <w:p w:rsidR="000A3F70" w:rsidRPr="000A3F70" w:rsidRDefault="000A3F70">
            <w:pPr>
              <w:pStyle w:val="NormalWeb"/>
              <w:spacing w:before="0" w:beforeAutospacing="0" w:after="0" w:afterAutospacing="0"/>
            </w:pPr>
            <w:r w:rsidRPr="000A3F70">
              <w:rPr>
                <w:rFonts w:ascii="Calibri" w:hAnsi="Calibri" w:cs="Calibri"/>
                <w:sz w:val="16"/>
                <w:szCs w:val="16"/>
              </w:rPr>
              <w:t>(Up to 70 characters including spaces)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Semester no where applicable</w:t>
            </w:r>
          </w:p>
          <w:p w:rsidR="000A3F70" w:rsidRPr="000A3F70" w:rsidRDefault="000A3F70">
            <w:pPr>
              <w:pStyle w:val="NormalWeb"/>
              <w:spacing w:before="0" w:beforeAutospacing="0" w:after="0" w:afterAutospacing="0"/>
            </w:pPr>
            <w:r w:rsidRPr="000A3F70">
              <w:rPr>
                <w:rFonts w:ascii="Calibri" w:hAnsi="Calibri" w:cs="Calibri"/>
                <w:b/>
                <w:bCs/>
                <w:sz w:val="16"/>
                <w:szCs w:val="16"/>
              </w:rPr>
              <w:t>(Semester 1 or Semester 2)</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 xml:space="preserve">Module </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Credit</w:t>
            </w:r>
          </w:p>
          <w:p w:rsidR="000A3F70" w:rsidRPr="000A3F70" w:rsidRDefault="000A3F70">
            <w:pPr>
              <w:pStyle w:val="NormalWeb"/>
              <w:spacing w:before="0" w:beforeAutospacing="0" w:after="0" w:afterAutospacing="0"/>
            </w:pPr>
            <w:r w:rsidRPr="000A3F70">
              <w:rPr>
                <w:rFonts w:ascii="Calibri" w:hAnsi="Calibri" w:cs="Calibri"/>
                <w:b/>
                <w:bCs/>
                <w:sz w:val="16"/>
                <w:szCs w:val="16"/>
              </w:rPr>
              <w:t>Number</w:t>
            </w:r>
            <w:r w:rsidRPr="000A3F70">
              <w:rPr>
                <w:rFonts w:ascii="Calibri" w:hAnsi="Calibri" w:cs="Calibri"/>
                <w:b/>
                <w:bCs/>
                <w:sz w:val="10"/>
                <w:szCs w:val="10"/>
                <w:vertAlign w:val="superscript"/>
              </w:rPr>
              <w:t>5</w:t>
            </w:r>
          </w:p>
          <w:p w:rsidR="000A3F70" w:rsidRPr="000A3F70" w:rsidRDefault="000A3F70"/>
        </w:tc>
        <w:tc>
          <w:tcPr>
            <w:tcW w:w="0" w:type="auto"/>
            <w:gridSpan w:val="6"/>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Total Student Effort Module (hours)</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Allocation Of Marks (from the module assessment strategy)</w:t>
            </w:r>
          </w:p>
        </w:tc>
      </w:tr>
      <w:tr w:rsidR="000A3F70" w:rsidRPr="000A3F70" w:rsidTr="000A3F70">
        <w:trPr>
          <w:trHeight w:val="136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A3F70" w:rsidRPr="000A3F70" w:rsidRDefault="000A3F70">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3F70" w:rsidRPr="000A3F70" w:rsidRDefault="000A3F70">
            <w:pP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Status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NFQ Level</w:t>
            </w:r>
            <w:r w:rsidRPr="000A3F70">
              <w:rPr>
                <w:rFonts w:ascii="Calibri" w:hAnsi="Calibri" w:cs="Calibri"/>
                <w:b/>
                <w:bCs/>
                <w:sz w:val="10"/>
                <w:szCs w:val="10"/>
                <w:vertAlign w:val="superscript"/>
              </w:rPr>
              <w:t>1</w:t>
            </w:r>
          </w:p>
          <w:p w:rsidR="000A3F70" w:rsidRPr="000A3F70" w:rsidRDefault="000A3F70">
            <w:pPr>
              <w:pStyle w:val="NormalWeb"/>
              <w:spacing w:before="0" w:beforeAutospacing="0" w:after="0" w:afterAutospacing="0"/>
            </w:pPr>
            <w:r w:rsidRPr="000A3F70">
              <w:rPr>
                <w:rFonts w:ascii="Calibri" w:hAnsi="Calibri" w:cs="Calibri"/>
                <w:b/>
                <w:bCs/>
                <w:sz w:val="16"/>
                <w:szCs w:val="16"/>
              </w:rPr>
              <w:t>where specified</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b/>
                <w:bCs/>
                <w:sz w:val="16"/>
                <w:szCs w:val="16"/>
              </w:rPr>
              <w:t>Credit Units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ind w:right="113" w:hanging="113"/>
            </w:pPr>
            <w:r w:rsidRPr="000A3F70">
              <w:rPr>
                <w:rFonts w:ascii="Calibri" w:hAnsi="Calibri" w:cs="Calibri"/>
                <w:b/>
                <w:bCs/>
                <w:sz w:val="16"/>
                <w:szCs w:val="16"/>
              </w:rPr>
              <w:t>Total Hours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ind w:right="113" w:hanging="113"/>
            </w:pPr>
            <w:r w:rsidRPr="000A3F70">
              <w:rPr>
                <w:rFonts w:ascii="Calibri" w:hAnsi="Calibri" w:cs="Calibri"/>
                <w:b/>
                <w:bCs/>
                <w:sz w:val="16"/>
                <w:szCs w:val="16"/>
              </w:rPr>
              <w:t>Class (or equiv) Contact Hours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ind w:right="113" w:hanging="113"/>
            </w:pPr>
            <w:r w:rsidRPr="000A3F70">
              <w:rPr>
                <w:rFonts w:ascii="Calibri" w:hAnsi="Calibri" w:cs="Calibri"/>
                <w:b/>
                <w:bCs/>
                <w:sz w:val="16"/>
                <w:szCs w:val="16"/>
              </w:rPr>
              <w:t>Directed e-learning</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ind w:right="113" w:hanging="113"/>
            </w:pPr>
            <w:r w:rsidRPr="000A3F70">
              <w:rPr>
                <w:rFonts w:ascii="Calibri" w:hAnsi="Calibri" w:cs="Calibri"/>
                <w:b/>
                <w:bCs/>
                <w:sz w:val="16"/>
                <w:szCs w:val="16"/>
              </w:rPr>
              <w:t>Hours of Independent Learning</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ind w:right="113" w:hanging="113"/>
            </w:pPr>
            <w:r w:rsidRPr="000A3F70">
              <w:rPr>
                <w:rFonts w:ascii="Calibri" w:hAnsi="Calibri" w:cs="Calibri"/>
                <w:b/>
                <w:bCs/>
                <w:sz w:val="16"/>
                <w:szCs w:val="16"/>
              </w:rPr>
              <w:t>Work-based learning effort</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ind w:right="113" w:hanging="113"/>
            </w:pPr>
            <w:r w:rsidRPr="000A3F70">
              <w:rPr>
                <w:rFonts w:ascii="Calibri" w:hAnsi="Calibri" w:cs="Calibri"/>
                <w:b/>
                <w:bCs/>
                <w:sz w:val="16"/>
                <w:szCs w:val="16"/>
              </w:rPr>
              <w:t>C.A. %</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ind w:right="113" w:hanging="113"/>
            </w:pPr>
            <w:r w:rsidRPr="000A3F70">
              <w:rPr>
                <w:rFonts w:ascii="Calibri" w:hAnsi="Calibri" w:cs="Calibri"/>
                <w:b/>
                <w:bCs/>
                <w:sz w:val="16"/>
                <w:szCs w:val="16"/>
              </w:rPr>
              <w:t>Supervised Project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ind w:right="113" w:hanging="113"/>
            </w:pPr>
            <w:r w:rsidRPr="000A3F70">
              <w:rPr>
                <w:rFonts w:ascii="Calibri" w:hAnsi="Calibri" w:cs="Calibri"/>
                <w:b/>
                <w:bCs/>
                <w:sz w:val="16"/>
                <w:szCs w:val="16"/>
              </w:rPr>
              <w:t xml:space="preserve">Proctored practical demonstration % </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ind w:right="113" w:hanging="113"/>
            </w:pPr>
            <w:r w:rsidRPr="000A3F70">
              <w:rPr>
                <w:rFonts w:ascii="Calibri" w:hAnsi="Calibri" w:cs="Calibri"/>
                <w:b/>
                <w:bCs/>
                <w:sz w:val="16"/>
                <w:szCs w:val="16"/>
              </w:rPr>
              <w:t>Proctored written exam %</w:t>
            </w:r>
          </w:p>
        </w:tc>
      </w:tr>
      <w:tr w:rsidR="000A3F70" w:rsidRPr="000A3F70" w:rsidTr="000A3F70">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sz w:val="16"/>
                <w:szCs w:val="16"/>
              </w:rPr>
              <w:t>Psychiatric case Conference and Seminar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Linear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138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2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sz w:val="16"/>
                <w:szCs w:val="16"/>
              </w:rPr>
              <w:t>Clinical Supervision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Linear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4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Supervised Clinical Experience</w:t>
            </w:r>
          </w:p>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Semester 2, Year 1 and then</w:t>
            </w:r>
          </w:p>
          <w:p w:rsidR="000A3F70" w:rsidRPr="000A3F70" w:rsidRDefault="000A3F70">
            <w:pPr>
              <w:pStyle w:val="NormalWeb"/>
              <w:spacing w:before="0" w:beforeAutospacing="0" w:after="0" w:afterAutospacing="0"/>
              <w:jc w:val="center"/>
            </w:pPr>
            <w:r w:rsidRPr="000A3F70">
              <w:rPr>
                <w:rFonts w:ascii="Calibri" w:hAnsi="Calibri" w:cs="Calibri"/>
                <w:sz w:val="16"/>
                <w:szCs w:val="16"/>
              </w:rPr>
              <w:t>Linear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r>
      <w:tr w:rsidR="000A3F70" w:rsidRPr="000A3F70" w:rsidTr="000A3F70">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sz w:val="16"/>
                <w:szCs w:val="16"/>
              </w:rPr>
              <w:t>Infant Observation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Linear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75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sz w:val="16"/>
                <w:szCs w:val="16"/>
              </w:rPr>
              <w:t xml:space="preserve">Formations of the Unconscious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pPr>
            <w:r w:rsidRPr="000A3F70">
              <w:rPr>
                <w:rFonts w:ascii="Calibri" w:hAnsi="Calibri" w:cs="Calibri"/>
                <w:sz w:val="16"/>
                <w:szCs w:val="16"/>
              </w:rPr>
              <w:t>Infantile Sexuality and Infantile Neurosis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1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The Clinic of the Unconscious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r>
      <w:tr w:rsidR="000A3F70" w:rsidRPr="000A3F70" w:rsidTr="000A3F7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Sexuality, Sexuation and the Division of the Sexes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Neurosis in the Clinic of Psychoanalysis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8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 xml:space="preserve">Psychoanalysis and Addiction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2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Psychosis in the Clinic of Psychoanalysis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2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 xml:space="preserve">The History and Traditions of Psychoanalysis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2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The Ethics of Psychoanalysis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A3F70" w:rsidRPr="000A3F70" w:rsidRDefault="000A3F70"/>
        </w:tc>
      </w:tr>
      <w:tr w:rsidR="000A3F70" w:rsidRPr="000A3F70" w:rsidTr="000A3F7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Transference in the Clinic of Psychoanalysis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r>
      <w:tr w:rsidR="000A3F70" w:rsidRPr="000A3F70" w:rsidTr="000A3F7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Research Seminar and Thesis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Linear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24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hd w:val="clear" w:color="auto" w:fill="FFFFFF"/>
              <w:spacing w:before="0" w:beforeAutospacing="0" w:after="0" w:afterAutospacing="0"/>
              <w:jc w:val="center"/>
            </w:pPr>
            <w:r w:rsidRPr="000A3F70">
              <w:rPr>
                <w:rFonts w:ascii="Calibri" w:hAnsi="Calibri" w:cs="Calibri"/>
                <w:sz w:val="16"/>
                <w:szCs w:val="16"/>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80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tc>
      </w:tr>
      <w:tr w:rsidR="000A3F70" w:rsidRPr="000A3F70" w:rsidTr="000A3F70">
        <w:trPr>
          <w:trHeight w:val="6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 w:rsidR="000A3F70" w:rsidRPr="000A3F70" w:rsidRDefault="000A3F70">
            <w:pPr>
              <w:pStyle w:val="NormalWeb"/>
              <w:spacing w:before="0" w:beforeAutospacing="0" w:after="0" w:afterAutospacing="0"/>
            </w:pPr>
            <w:r w:rsidRPr="000A3F70">
              <w:rPr>
                <w:rFonts w:ascii="Calibri" w:hAnsi="Calibri" w:cs="Calibri"/>
                <w:sz w:val="16"/>
                <w:szCs w:val="16"/>
              </w:rPr>
              <w:t>Special Regulation 1</w:t>
            </w:r>
          </w:p>
          <w:p w:rsidR="000A3F70" w:rsidRPr="000A3F70" w:rsidRDefault="000A3F70"/>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For the modules, Psychiatric case Conference and Seminar, Clinical Supervision, Supervised Clinical Experience, Infant Observation special regulations apply in that it is required that a learner pass each component of assessment. Learners cannot compensate over the different components of the assessment on account of the clinical component of the module for which a guarantee of reaching a pass grade is essential.</w:t>
            </w:r>
          </w:p>
        </w:tc>
      </w:tr>
      <w:tr w:rsidR="000A3F70" w:rsidRPr="000A3F70" w:rsidTr="000A3F70">
        <w:trPr>
          <w:trHeight w:val="7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Special Regulation 2</w:t>
            </w:r>
          </w:p>
          <w:p w:rsidR="000A3F70" w:rsidRPr="000A3F70" w:rsidRDefault="000A3F70"/>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Learners on the MA will verify with written documentation that they have been in their own psychoanalysis with a reputable and recognised psychoanalytic practitioner for the duration of the programme. Failure to adequately verify engagement in their own psychoanalysis with a reputable and recognised psychoanalytic practitioner will prevent the learner from graduating from the programme.</w:t>
            </w:r>
          </w:p>
        </w:tc>
      </w:tr>
      <w:tr w:rsidR="000A3F70" w:rsidRPr="000A3F70" w:rsidTr="000A3F70">
        <w:trPr>
          <w:trHeight w:val="70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pPr>
            <w:r w:rsidRPr="000A3F70">
              <w:rPr>
                <w:rFonts w:ascii="Calibri" w:hAnsi="Calibri" w:cs="Calibri"/>
                <w:sz w:val="16"/>
                <w:szCs w:val="16"/>
              </w:rPr>
              <w:t>Special Regulation 3</w:t>
            </w:r>
          </w:p>
          <w:p w:rsidR="000A3F70" w:rsidRPr="000A3F70" w:rsidRDefault="000A3F70"/>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3F70" w:rsidRPr="000A3F70" w:rsidRDefault="000A3F70">
            <w:pPr>
              <w:pStyle w:val="NormalWeb"/>
              <w:spacing w:before="0" w:beforeAutospacing="0" w:after="0" w:afterAutospacing="0"/>
              <w:jc w:val="center"/>
            </w:pPr>
            <w:r w:rsidRPr="000A3F70">
              <w:rPr>
                <w:rFonts w:ascii="Calibri" w:hAnsi="Calibri" w:cs="Calibri"/>
                <w:sz w:val="16"/>
                <w:szCs w:val="16"/>
              </w:rPr>
              <w:t>For the module, Research Seminar and Thesis, a special regulation applies in that a learner must pass in each one of the components of this module. There is no compensation across components.</w:t>
            </w:r>
          </w:p>
        </w:tc>
      </w:tr>
    </w:tbl>
    <w:p w:rsidR="000A3F70" w:rsidRPr="000A3F70" w:rsidRDefault="000A3F70" w:rsidP="000A3F70"/>
    <w:p w:rsidR="00472A27" w:rsidRPr="000A3F70" w:rsidRDefault="00472A27" w:rsidP="00472A27">
      <w:pPr>
        <w:sectPr w:rsidR="00472A27" w:rsidRPr="000A3F70" w:rsidSect="001C0F0B">
          <w:pgSz w:w="16838" w:h="11906" w:orient="landscape"/>
          <w:pgMar w:top="1440" w:right="1440" w:bottom="1440" w:left="1440" w:header="708" w:footer="708" w:gutter="0"/>
          <w:cols w:space="708"/>
          <w:docGrid w:linePitch="360"/>
        </w:sectPr>
      </w:pPr>
    </w:p>
    <w:p w:rsidR="008F0EA6" w:rsidRPr="00A43633" w:rsidRDefault="00472A27" w:rsidP="000A3F70">
      <w:pPr>
        <w:pStyle w:val="Heading1"/>
        <w:rPr>
          <w:rFonts w:cs="Lucida Sans"/>
          <w:szCs w:val="24"/>
        </w:rPr>
      </w:pPr>
      <w:bookmarkStart w:id="110" w:name="_Toc513221623"/>
      <w:r w:rsidRPr="00A43633">
        <w:t>Appendix 2: Agenda</w:t>
      </w:r>
      <w:bookmarkEnd w:id="110"/>
    </w:p>
    <w:p w:rsidR="00CE642A" w:rsidRDefault="00CE642A" w:rsidP="00CE642A"/>
    <w:p w:rsidR="00E70C7D" w:rsidRPr="000A3F70" w:rsidRDefault="00E70C7D" w:rsidP="00CE642A"/>
    <w:p w:rsidR="00CE642A" w:rsidRPr="000A3F70" w:rsidRDefault="00CE642A" w:rsidP="00CE642A">
      <w:pPr>
        <w:spacing w:line="360" w:lineRule="auto"/>
        <w:ind w:left="-426"/>
        <w:jc w:val="center"/>
        <w:rPr>
          <w:rFonts w:ascii="Calibri" w:hAnsi="Calibri" w:cs="Calibri"/>
          <w:lang w:val="en-NZ"/>
        </w:rPr>
      </w:pPr>
      <w:r w:rsidRPr="000A3F70">
        <w:rPr>
          <w:rFonts w:ascii="Calibri" w:hAnsi="Calibri" w:cs="Calibri"/>
          <w:lang w:val="en-NZ"/>
        </w:rPr>
        <w:t xml:space="preserve">School of Arts </w:t>
      </w:r>
      <w:r w:rsidRPr="000A3F70">
        <w:rPr>
          <w:rFonts w:ascii="Calibri" w:hAnsi="Calibri" w:cs="Calibri"/>
          <w:lang w:val="en-NZ"/>
        </w:rPr>
        <w:br/>
        <w:t>Programmatic Review</w:t>
      </w:r>
    </w:p>
    <w:p w:rsidR="00CE642A" w:rsidRPr="000A3F70" w:rsidRDefault="00CE642A" w:rsidP="00CE642A">
      <w:pPr>
        <w:spacing w:line="360" w:lineRule="auto"/>
        <w:ind w:left="-426"/>
        <w:jc w:val="center"/>
        <w:rPr>
          <w:rFonts w:ascii="Calibri" w:hAnsi="Calibri" w:cs="Calibri"/>
          <w:lang w:val="en-NZ"/>
        </w:rPr>
      </w:pPr>
      <w:r w:rsidRPr="000A3F70">
        <w:rPr>
          <w:rFonts w:ascii="Calibri" w:hAnsi="Calibri" w:cs="Calibri"/>
          <w:lang w:val="en-NZ"/>
        </w:rPr>
        <w:t>MA in Psychoanalytic Psychotherapy (level 9)</w:t>
      </w:r>
    </w:p>
    <w:p w:rsidR="00CE642A" w:rsidRPr="000A3F70" w:rsidRDefault="00CE642A" w:rsidP="00CE642A">
      <w:pPr>
        <w:spacing w:line="360" w:lineRule="auto"/>
        <w:ind w:left="-426"/>
        <w:jc w:val="center"/>
        <w:rPr>
          <w:rFonts w:ascii="Calibri" w:hAnsi="Calibri" w:cs="Calibri"/>
          <w:lang w:val="en-NZ"/>
        </w:rPr>
      </w:pPr>
      <w:r w:rsidRPr="000A3F70">
        <w:rPr>
          <w:rFonts w:ascii="Calibri" w:hAnsi="Calibri" w:cs="Calibri"/>
          <w:lang w:val="en-NZ"/>
        </w:rPr>
        <w:t>MA in Addiction Studies (level 9)</w:t>
      </w:r>
    </w:p>
    <w:p w:rsidR="00CE642A" w:rsidRPr="000A3F70" w:rsidRDefault="00CE642A" w:rsidP="00CE642A">
      <w:pPr>
        <w:spacing w:line="360" w:lineRule="auto"/>
        <w:ind w:left="-426"/>
        <w:jc w:val="center"/>
        <w:rPr>
          <w:rFonts w:ascii="Calibri" w:hAnsi="Calibri" w:cs="Calibri"/>
          <w:lang w:val="en-NZ"/>
        </w:rPr>
      </w:pPr>
      <w:r w:rsidRPr="000A3F70">
        <w:rPr>
          <w:rFonts w:ascii="Calibri" w:hAnsi="Calibri" w:cs="Calibri"/>
          <w:lang w:val="en-NZ"/>
        </w:rPr>
        <w:t>Location: Dublin Business School, Aungier Street building, Room AS1.2</w:t>
      </w:r>
    </w:p>
    <w:p w:rsidR="00CE642A" w:rsidRPr="000A3F70" w:rsidRDefault="00CE642A" w:rsidP="00CE642A">
      <w:pPr>
        <w:spacing w:line="360" w:lineRule="auto"/>
        <w:ind w:left="-426"/>
        <w:jc w:val="center"/>
        <w:rPr>
          <w:rFonts w:ascii="Calibri" w:hAnsi="Calibri" w:cs="Calibri"/>
          <w:lang w:val="en-NZ"/>
        </w:rPr>
      </w:pPr>
      <w:r w:rsidRPr="000A3F70">
        <w:rPr>
          <w:rFonts w:ascii="Calibri" w:hAnsi="Calibri" w:cs="Calibri"/>
          <w:lang w:val="en-NZ"/>
        </w:rPr>
        <w:t>12th April 2018</w:t>
      </w:r>
    </w:p>
    <w:tbl>
      <w:tblPr>
        <w:tblW w:w="790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809"/>
        <w:gridCol w:w="6095"/>
      </w:tblGrid>
      <w:tr w:rsidR="00CE642A" w:rsidRPr="000A3F70" w:rsidTr="00FA215E">
        <w:trPr>
          <w:trHeight w:val="340"/>
          <w:jc w:val="center"/>
        </w:trPr>
        <w:tc>
          <w:tcPr>
            <w:tcW w:w="1809" w:type="dxa"/>
            <w:shd w:val="clear" w:color="auto" w:fill="auto"/>
          </w:tcPr>
          <w:p w:rsidR="00CE642A" w:rsidRPr="000A3F70" w:rsidRDefault="00CE642A" w:rsidP="00FA215E">
            <w:pPr>
              <w:rPr>
                <w:rFonts w:ascii="Calibri" w:hAnsi="Calibri" w:cs="Calibri"/>
                <w:lang w:val="en-NZ"/>
              </w:rPr>
            </w:pPr>
            <w:r w:rsidRPr="000A3F70">
              <w:rPr>
                <w:rFonts w:ascii="Calibri" w:hAnsi="Calibri" w:cs="Calibri"/>
                <w:lang w:val="en-NZ"/>
              </w:rPr>
              <w:t xml:space="preserve">Time </w:t>
            </w:r>
          </w:p>
        </w:tc>
        <w:tc>
          <w:tcPr>
            <w:tcW w:w="6095" w:type="dxa"/>
            <w:shd w:val="clear" w:color="auto" w:fill="auto"/>
          </w:tcPr>
          <w:p w:rsidR="00CE642A" w:rsidRPr="000A3F70" w:rsidRDefault="00CE642A" w:rsidP="00FA215E">
            <w:pPr>
              <w:rPr>
                <w:rFonts w:ascii="Calibri" w:hAnsi="Calibri" w:cs="Calibri"/>
                <w:lang w:val="en-NZ"/>
              </w:rPr>
            </w:pPr>
            <w:r w:rsidRPr="000A3F70">
              <w:rPr>
                <w:rFonts w:ascii="Calibri" w:hAnsi="Calibri" w:cs="Calibri"/>
                <w:lang w:val="en-NZ"/>
              </w:rPr>
              <w:t>Activity</w:t>
            </w:r>
          </w:p>
        </w:tc>
      </w:tr>
      <w:tr w:rsidR="00CE642A" w:rsidRPr="000A3F70" w:rsidTr="00FA215E">
        <w:trPr>
          <w:trHeight w:val="532"/>
          <w:jc w:val="center"/>
        </w:trPr>
        <w:tc>
          <w:tcPr>
            <w:tcW w:w="1809"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8.45 - 9.45am</w:t>
            </w:r>
          </w:p>
        </w:tc>
        <w:tc>
          <w:tcPr>
            <w:tcW w:w="6095"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 xml:space="preserve">Private Meeting of Panel </w:t>
            </w:r>
          </w:p>
        </w:tc>
      </w:tr>
      <w:tr w:rsidR="00CE642A" w:rsidRPr="000A3F70" w:rsidTr="00FA215E">
        <w:trPr>
          <w:trHeight w:val="340"/>
          <w:jc w:val="center"/>
        </w:trPr>
        <w:tc>
          <w:tcPr>
            <w:tcW w:w="1809"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9.45 - 10.15am</w:t>
            </w:r>
          </w:p>
        </w:tc>
        <w:tc>
          <w:tcPr>
            <w:tcW w:w="6095"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Meeting with Senior Management to Discuss:</w:t>
            </w:r>
          </w:p>
          <w:p w:rsidR="00CE642A" w:rsidRPr="000A3F70" w:rsidRDefault="00CE642A" w:rsidP="00FA215E">
            <w:pPr>
              <w:rPr>
                <w:rFonts w:ascii="Calibri" w:hAnsi="Calibri" w:cs="Calibri"/>
                <w:lang w:val="en-NZ"/>
              </w:rPr>
            </w:pPr>
          </w:p>
          <w:p w:rsidR="00CE642A" w:rsidRPr="000A3F70" w:rsidRDefault="00CE642A" w:rsidP="00C90305">
            <w:pPr>
              <w:numPr>
                <w:ilvl w:val="0"/>
                <w:numId w:val="29"/>
              </w:numPr>
              <w:spacing w:after="0" w:line="240" w:lineRule="auto"/>
              <w:ind w:left="318" w:hanging="284"/>
              <w:rPr>
                <w:rFonts w:ascii="Calibri" w:hAnsi="Calibri" w:cs="Calibri"/>
                <w:lang w:val="en-NZ"/>
              </w:rPr>
            </w:pPr>
            <w:r w:rsidRPr="000A3F70">
              <w:rPr>
                <w:rFonts w:ascii="Calibri" w:hAnsi="Calibri" w:cs="Calibri"/>
                <w:lang w:val="en-NZ"/>
              </w:rPr>
              <w:t>Rationale for the development of programme(s)</w:t>
            </w:r>
          </w:p>
          <w:p w:rsidR="00CE642A" w:rsidRPr="000A3F70" w:rsidRDefault="00CE642A" w:rsidP="00C90305">
            <w:pPr>
              <w:numPr>
                <w:ilvl w:val="0"/>
                <w:numId w:val="29"/>
              </w:numPr>
              <w:spacing w:after="0" w:line="240" w:lineRule="auto"/>
              <w:ind w:left="318" w:hanging="284"/>
              <w:rPr>
                <w:rFonts w:ascii="Calibri" w:hAnsi="Calibri" w:cs="Calibri"/>
                <w:lang w:val="en-NZ"/>
              </w:rPr>
            </w:pPr>
            <w:r w:rsidRPr="000A3F70">
              <w:rPr>
                <w:rFonts w:ascii="Calibri" w:hAnsi="Calibri" w:cs="Calibri"/>
                <w:lang w:val="en-NZ"/>
              </w:rPr>
              <w:t>The associated internal approval process and findings</w:t>
            </w:r>
          </w:p>
          <w:p w:rsidR="00CE642A" w:rsidRPr="000A3F70" w:rsidRDefault="00CE642A" w:rsidP="00FA215E">
            <w:pPr>
              <w:ind w:left="318"/>
              <w:rPr>
                <w:rFonts w:ascii="Calibri" w:hAnsi="Calibri" w:cs="Calibri"/>
                <w:lang w:val="en-NZ"/>
              </w:rPr>
            </w:pPr>
          </w:p>
        </w:tc>
      </w:tr>
      <w:tr w:rsidR="00CE642A" w:rsidRPr="000A3F70" w:rsidTr="00FA215E">
        <w:trPr>
          <w:trHeight w:val="790"/>
          <w:jc w:val="center"/>
        </w:trPr>
        <w:tc>
          <w:tcPr>
            <w:tcW w:w="1809"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10:15 - 11.00am</w:t>
            </w:r>
          </w:p>
        </w:tc>
        <w:tc>
          <w:tcPr>
            <w:tcW w:w="6095"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Dialogue on Learning Opportunities:</w:t>
            </w:r>
          </w:p>
          <w:p w:rsidR="00CE642A" w:rsidRPr="000A3F70" w:rsidRDefault="00CE642A" w:rsidP="00FA215E">
            <w:pPr>
              <w:rPr>
                <w:rFonts w:ascii="Calibri" w:hAnsi="Calibri" w:cs="Calibri"/>
                <w:lang w:val="en-NZ"/>
              </w:rPr>
            </w:pPr>
          </w:p>
          <w:p w:rsidR="00CE642A" w:rsidRPr="000A3F70" w:rsidRDefault="00CE642A" w:rsidP="00C90305">
            <w:pPr>
              <w:numPr>
                <w:ilvl w:val="0"/>
                <w:numId w:val="30"/>
              </w:numPr>
              <w:spacing w:after="0" w:line="240" w:lineRule="auto"/>
              <w:ind w:left="318" w:hanging="284"/>
              <w:rPr>
                <w:rFonts w:ascii="Calibri" w:hAnsi="Calibri" w:cs="Calibri"/>
                <w:lang w:val="en-NZ"/>
              </w:rPr>
            </w:pPr>
            <w:r w:rsidRPr="000A3F70">
              <w:rPr>
                <w:rFonts w:ascii="Calibri" w:hAnsi="Calibri" w:cs="Calibri"/>
                <w:lang w:val="en-NZ"/>
              </w:rPr>
              <w:t>Model of Provision</w:t>
            </w:r>
          </w:p>
          <w:p w:rsidR="00CE642A" w:rsidRPr="000A3F70" w:rsidRDefault="00CE642A" w:rsidP="00C90305">
            <w:pPr>
              <w:numPr>
                <w:ilvl w:val="0"/>
                <w:numId w:val="30"/>
              </w:numPr>
              <w:spacing w:after="0" w:line="240" w:lineRule="auto"/>
              <w:ind w:left="318" w:hanging="284"/>
              <w:rPr>
                <w:rFonts w:ascii="Calibri" w:hAnsi="Calibri" w:cs="Calibri"/>
                <w:lang w:val="en-NZ"/>
              </w:rPr>
            </w:pPr>
            <w:r w:rsidRPr="000A3F70">
              <w:rPr>
                <w:rFonts w:ascii="Calibri" w:hAnsi="Calibri" w:cs="Calibri"/>
                <w:lang w:val="en-NZ"/>
              </w:rPr>
              <w:t>Resourcing of proposed programme provision</w:t>
            </w:r>
          </w:p>
          <w:p w:rsidR="00CE642A" w:rsidRPr="000A3F70" w:rsidRDefault="00CE642A" w:rsidP="00C90305">
            <w:pPr>
              <w:numPr>
                <w:ilvl w:val="0"/>
                <w:numId w:val="30"/>
              </w:numPr>
              <w:spacing w:after="0" w:line="240" w:lineRule="auto"/>
              <w:ind w:left="318" w:hanging="284"/>
              <w:rPr>
                <w:rFonts w:ascii="Calibri" w:hAnsi="Calibri" w:cs="Calibri"/>
                <w:lang w:val="en-NZ"/>
              </w:rPr>
            </w:pPr>
            <w:r w:rsidRPr="000A3F70">
              <w:rPr>
                <w:rFonts w:ascii="Calibri" w:hAnsi="Calibri" w:cs="Calibri"/>
                <w:lang w:val="en-NZ"/>
              </w:rPr>
              <w:t>Staffing of the proposed programme provision</w:t>
            </w:r>
          </w:p>
          <w:p w:rsidR="00CE642A" w:rsidRPr="000A3F70" w:rsidRDefault="00CE642A" w:rsidP="00FA215E">
            <w:pPr>
              <w:rPr>
                <w:rFonts w:ascii="Calibri" w:hAnsi="Calibri" w:cs="Calibri"/>
                <w:lang w:val="en-NZ"/>
              </w:rPr>
            </w:pPr>
          </w:p>
        </w:tc>
      </w:tr>
      <w:tr w:rsidR="00CE642A" w:rsidRPr="000A3F70" w:rsidTr="00FA215E">
        <w:trPr>
          <w:trHeight w:val="510"/>
          <w:jc w:val="center"/>
        </w:trPr>
        <w:tc>
          <w:tcPr>
            <w:tcW w:w="1809"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11.00  – 11:30am</w:t>
            </w:r>
          </w:p>
        </w:tc>
        <w:tc>
          <w:tcPr>
            <w:tcW w:w="6095"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Tea/Coffee Break and Private Meeting of Panel</w:t>
            </w:r>
          </w:p>
        </w:tc>
      </w:tr>
      <w:tr w:rsidR="00CE642A" w:rsidRPr="000A3F70" w:rsidTr="00FA215E">
        <w:trPr>
          <w:trHeight w:val="340"/>
          <w:jc w:val="center"/>
        </w:trPr>
        <w:tc>
          <w:tcPr>
            <w:tcW w:w="1809"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11:30 – 12.45pm</w:t>
            </w:r>
          </w:p>
        </w:tc>
        <w:tc>
          <w:tcPr>
            <w:tcW w:w="6095" w:type="dxa"/>
            <w:shd w:val="clear" w:color="auto" w:fill="auto"/>
            <w:vAlign w:val="center"/>
          </w:tcPr>
          <w:p w:rsidR="00CE642A" w:rsidRPr="000A3F70" w:rsidRDefault="00CE642A" w:rsidP="00FA215E">
            <w:pPr>
              <w:ind w:left="318"/>
              <w:rPr>
                <w:rFonts w:ascii="Calibri" w:hAnsi="Calibri" w:cs="Calibri"/>
                <w:lang w:val="en-NZ"/>
              </w:rPr>
            </w:pPr>
          </w:p>
          <w:p w:rsidR="00CE642A" w:rsidRPr="000A3F70" w:rsidRDefault="00CE642A" w:rsidP="00FA215E">
            <w:pPr>
              <w:ind w:left="318"/>
              <w:rPr>
                <w:rFonts w:ascii="Calibri" w:hAnsi="Calibri" w:cs="Calibri"/>
                <w:lang w:val="en-NZ"/>
              </w:rPr>
            </w:pPr>
            <w:r w:rsidRPr="000A3F70">
              <w:rPr>
                <w:rFonts w:ascii="Calibri" w:hAnsi="Calibri" w:cs="Calibri"/>
                <w:lang w:val="en-NZ"/>
              </w:rPr>
              <w:t>Awards Standards and Participation in the Programmes:</w:t>
            </w:r>
          </w:p>
          <w:p w:rsidR="00CE642A" w:rsidRPr="000A3F70" w:rsidRDefault="00CE642A" w:rsidP="00FA215E">
            <w:pPr>
              <w:ind w:left="318"/>
              <w:rPr>
                <w:rFonts w:ascii="Calibri" w:hAnsi="Calibri" w:cs="Calibri"/>
                <w:lang w:val="en-NZ"/>
              </w:rPr>
            </w:pPr>
          </w:p>
          <w:p w:rsidR="00CE642A" w:rsidRPr="000A3F70" w:rsidRDefault="00CE642A" w:rsidP="00C90305">
            <w:pPr>
              <w:numPr>
                <w:ilvl w:val="0"/>
                <w:numId w:val="31"/>
              </w:numPr>
              <w:spacing w:after="0" w:line="240" w:lineRule="auto"/>
              <w:ind w:left="318" w:hanging="318"/>
              <w:rPr>
                <w:rFonts w:ascii="Calibri" w:hAnsi="Calibri" w:cs="Calibri"/>
                <w:lang w:val="en-NZ"/>
              </w:rPr>
            </w:pPr>
            <w:r w:rsidRPr="000A3F70">
              <w:rPr>
                <w:rFonts w:ascii="Calibri" w:hAnsi="Calibri" w:cs="Calibri"/>
                <w:lang w:val="en-NZ"/>
              </w:rPr>
              <w:t xml:space="preserve">Access and admission requirements for the programme </w:t>
            </w:r>
          </w:p>
          <w:p w:rsidR="00CE642A" w:rsidRPr="000A3F70" w:rsidRDefault="00CE642A" w:rsidP="00C90305">
            <w:pPr>
              <w:numPr>
                <w:ilvl w:val="0"/>
                <w:numId w:val="31"/>
              </w:numPr>
              <w:spacing w:after="0" w:line="240" w:lineRule="auto"/>
              <w:ind w:left="318" w:hanging="318"/>
              <w:rPr>
                <w:rFonts w:ascii="Calibri" w:hAnsi="Calibri" w:cs="Calibri"/>
                <w:lang w:val="en-NZ"/>
              </w:rPr>
            </w:pPr>
            <w:r w:rsidRPr="000A3F70">
              <w:rPr>
                <w:rFonts w:ascii="Calibri" w:hAnsi="Calibri" w:cs="Calibri"/>
                <w:lang w:val="en-NZ"/>
              </w:rPr>
              <w:t>Structure, aims, objectives and intended learning outcomes of the programme</w:t>
            </w:r>
          </w:p>
          <w:p w:rsidR="00CE642A" w:rsidRPr="000A3F70" w:rsidRDefault="00CE642A" w:rsidP="00C90305">
            <w:pPr>
              <w:numPr>
                <w:ilvl w:val="0"/>
                <w:numId w:val="31"/>
              </w:numPr>
              <w:spacing w:after="0" w:line="240" w:lineRule="auto"/>
              <w:ind w:left="318" w:hanging="318"/>
              <w:rPr>
                <w:rFonts w:ascii="Calibri" w:hAnsi="Calibri" w:cs="Calibri"/>
                <w:lang w:val="en-NZ"/>
              </w:rPr>
            </w:pPr>
            <w:r w:rsidRPr="000A3F70">
              <w:rPr>
                <w:rFonts w:ascii="Calibri" w:hAnsi="Calibri" w:cs="Calibri"/>
                <w:lang w:val="en-NZ"/>
              </w:rPr>
              <w:t>Curriculum design and content</w:t>
            </w:r>
          </w:p>
          <w:p w:rsidR="00CE642A" w:rsidRPr="000A3F70" w:rsidRDefault="00CE642A" w:rsidP="00C90305">
            <w:pPr>
              <w:numPr>
                <w:ilvl w:val="0"/>
                <w:numId w:val="31"/>
              </w:numPr>
              <w:spacing w:after="0" w:line="240" w:lineRule="auto"/>
              <w:ind w:left="318" w:hanging="318"/>
              <w:rPr>
                <w:rFonts w:ascii="Calibri" w:hAnsi="Calibri" w:cs="Calibri"/>
                <w:lang w:val="en-NZ"/>
              </w:rPr>
            </w:pPr>
            <w:r w:rsidRPr="000A3F70">
              <w:rPr>
                <w:rFonts w:ascii="Calibri" w:hAnsi="Calibri" w:cs="Calibri"/>
                <w:lang w:val="en-NZ"/>
              </w:rPr>
              <w:t>Assessment:  programme assessment strategy</w:t>
            </w:r>
          </w:p>
          <w:p w:rsidR="00CE642A" w:rsidRPr="000A3F70" w:rsidRDefault="00CE642A" w:rsidP="00C90305">
            <w:pPr>
              <w:numPr>
                <w:ilvl w:val="0"/>
                <w:numId w:val="31"/>
              </w:numPr>
              <w:spacing w:after="0" w:line="240" w:lineRule="auto"/>
              <w:ind w:left="318" w:hanging="318"/>
              <w:rPr>
                <w:rFonts w:ascii="Calibri" w:hAnsi="Calibri" w:cs="Calibri"/>
                <w:lang w:val="en-NZ"/>
              </w:rPr>
            </w:pPr>
            <w:r w:rsidRPr="000A3F70">
              <w:rPr>
                <w:rFonts w:ascii="Calibri" w:hAnsi="Calibri" w:cs="Calibri"/>
                <w:lang w:val="en-NZ"/>
              </w:rPr>
              <w:t>module assessment strategies</w:t>
            </w:r>
          </w:p>
          <w:p w:rsidR="00CE642A" w:rsidRPr="000A3F70" w:rsidRDefault="00CE642A" w:rsidP="00C90305">
            <w:pPr>
              <w:numPr>
                <w:ilvl w:val="0"/>
                <w:numId w:val="31"/>
              </w:numPr>
              <w:spacing w:after="0" w:line="240" w:lineRule="auto"/>
              <w:ind w:left="318" w:hanging="318"/>
              <w:rPr>
                <w:rFonts w:ascii="Calibri" w:hAnsi="Calibri" w:cs="Calibri"/>
                <w:lang w:val="en-NZ"/>
              </w:rPr>
            </w:pPr>
            <w:r w:rsidRPr="000A3F70">
              <w:rPr>
                <w:rFonts w:ascii="Calibri" w:hAnsi="Calibri" w:cs="Calibri"/>
                <w:lang w:val="en-NZ"/>
              </w:rPr>
              <w:t>assessors</w:t>
            </w:r>
          </w:p>
          <w:p w:rsidR="00CE642A" w:rsidRPr="000A3F70" w:rsidRDefault="00CE642A" w:rsidP="00C90305">
            <w:pPr>
              <w:numPr>
                <w:ilvl w:val="0"/>
                <w:numId w:val="31"/>
              </w:numPr>
              <w:spacing w:after="0" w:line="240" w:lineRule="auto"/>
              <w:ind w:left="318" w:hanging="318"/>
              <w:rPr>
                <w:rFonts w:ascii="Calibri" w:hAnsi="Calibri" w:cs="Calibri"/>
                <w:lang w:val="en-NZ"/>
              </w:rPr>
            </w:pPr>
            <w:r w:rsidRPr="000A3F70">
              <w:rPr>
                <w:rFonts w:ascii="Calibri" w:hAnsi="Calibri" w:cs="Calibri"/>
                <w:lang w:val="en-NZ"/>
              </w:rPr>
              <w:t>examiners</w:t>
            </w:r>
          </w:p>
          <w:p w:rsidR="00CE642A" w:rsidRPr="000A3F70" w:rsidRDefault="00CE642A" w:rsidP="00FA215E">
            <w:pPr>
              <w:ind w:left="318"/>
              <w:rPr>
                <w:rFonts w:ascii="Calibri" w:hAnsi="Calibri" w:cs="Calibri"/>
                <w:lang w:val="en-NZ"/>
              </w:rPr>
            </w:pPr>
          </w:p>
        </w:tc>
      </w:tr>
      <w:tr w:rsidR="00CE642A" w:rsidRPr="000A3F70" w:rsidTr="00FA215E">
        <w:trPr>
          <w:trHeight w:val="510"/>
          <w:jc w:val="center"/>
        </w:trPr>
        <w:tc>
          <w:tcPr>
            <w:tcW w:w="1809"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12.45 - 13.30pm</w:t>
            </w:r>
          </w:p>
        </w:tc>
        <w:tc>
          <w:tcPr>
            <w:tcW w:w="6095"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Lunch and Private Meeting of Panel</w:t>
            </w:r>
          </w:p>
        </w:tc>
      </w:tr>
      <w:tr w:rsidR="00CE642A" w:rsidRPr="000A3F70" w:rsidTr="00FA215E">
        <w:trPr>
          <w:trHeight w:val="510"/>
          <w:jc w:val="center"/>
        </w:trPr>
        <w:tc>
          <w:tcPr>
            <w:tcW w:w="1809"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13.30 –14:30pm</w:t>
            </w:r>
          </w:p>
        </w:tc>
        <w:tc>
          <w:tcPr>
            <w:tcW w:w="6095"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Facilities Review</w:t>
            </w:r>
          </w:p>
        </w:tc>
      </w:tr>
      <w:tr w:rsidR="00CE642A" w:rsidRPr="000A3F70" w:rsidTr="00FA215E">
        <w:trPr>
          <w:trHeight w:val="510"/>
          <w:jc w:val="center"/>
        </w:trPr>
        <w:tc>
          <w:tcPr>
            <w:tcW w:w="1809"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14:30 – 15:15pm</w:t>
            </w:r>
          </w:p>
        </w:tc>
        <w:tc>
          <w:tcPr>
            <w:tcW w:w="6095"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Meet with Students and Graduates</w:t>
            </w:r>
          </w:p>
        </w:tc>
      </w:tr>
      <w:tr w:rsidR="00CE642A" w:rsidRPr="000A3F70" w:rsidTr="00FA215E">
        <w:trPr>
          <w:trHeight w:val="510"/>
          <w:jc w:val="center"/>
        </w:trPr>
        <w:tc>
          <w:tcPr>
            <w:tcW w:w="1809"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15:15 – 16:30pm</w:t>
            </w:r>
          </w:p>
        </w:tc>
        <w:tc>
          <w:tcPr>
            <w:tcW w:w="6095"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Tea/ Coffee Break and Private meeting of Panel</w:t>
            </w:r>
          </w:p>
        </w:tc>
      </w:tr>
      <w:tr w:rsidR="00CE642A" w:rsidRPr="000A3F70" w:rsidTr="00FA215E">
        <w:trPr>
          <w:trHeight w:val="510"/>
          <w:jc w:val="center"/>
        </w:trPr>
        <w:tc>
          <w:tcPr>
            <w:tcW w:w="1809"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16:30 – 16.45pm</w:t>
            </w:r>
          </w:p>
        </w:tc>
        <w:tc>
          <w:tcPr>
            <w:tcW w:w="6095" w:type="dxa"/>
            <w:shd w:val="clear" w:color="auto" w:fill="auto"/>
            <w:vAlign w:val="center"/>
          </w:tcPr>
          <w:p w:rsidR="00CE642A" w:rsidRPr="000A3F70" w:rsidRDefault="00CE642A" w:rsidP="00FA215E">
            <w:pPr>
              <w:rPr>
                <w:rFonts w:ascii="Calibri" w:hAnsi="Calibri" w:cs="Calibri"/>
                <w:lang w:val="en-NZ"/>
              </w:rPr>
            </w:pPr>
            <w:r w:rsidRPr="000A3F70">
              <w:rPr>
                <w:rFonts w:ascii="Calibri" w:hAnsi="Calibri" w:cs="Calibri"/>
                <w:lang w:val="en-NZ"/>
              </w:rPr>
              <w:t>Preliminary Oral Feedback to DBS Senior Staff</w:t>
            </w:r>
          </w:p>
        </w:tc>
      </w:tr>
    </w:tbl>
    <w:p w:rsidR="00CE642A" w:rsidRPr="000A3F70" w:rsidRDefault="00CE642A" w:rsidP="00CE642A">
      <w:pPr>
        <w:rPr>
          <w:rFonts w:ascii="Calibri" w:hAnsi="Calibri" w:cs="Calibri"/>
          <w:lang w:val="en-NZ"/>
        </w:rPr>
      </w:pPr>
    </w:p>
    <w:p w:rsidR="00CE642A" w:rsidRPr="000A3F70" w:rsidRDefault="00CE642A" w:rsidP="00CE642A">
      <w:pPr>
        <w:rPr>
          <w:rFonts w:ascii="Calibri" w:hAnsi="Calibri" w:cs="Calibri"/>
          <w:lang w:val="en-NZ"/>
        </w:rPr>
      </w:pPr>
    </w:p>
    <w:sectPr w:rsidR="00CE642A" w:rsidRPr="000A3F70" w:rsidSect="002403C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704" w:rsidRDefault="00381704" w:rsidP="00527584">
      <w:pPr>
        <w:spacing w:after="0" w:line="240" w:lineRule="auto"/>
      </w:pPr>
      <w:r>
        <w:separator/>
      </w:r>
    </w:p>
  </w:endnote>
  <w:endnote w:type="continuationSeparator" w:id="0">
    <w:p w:rsidR="00381704" w:rsidRDefault="00381704" w:rsidP="0052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Calibri-Light">
    <w:panose1 w:val="00000000000000000000"/>
    <w:charset w:val="00"/>
    <w:family w:val="swiss"/>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826435"/>
      <w:docPartObj>
        <w:docPartGallery w:val="Page Numbers (Bottom of Page)"/>
        <w:docPartUnique/>
      </w:docPartObj>
    </w:sdtPr>
    <w:sdtEndPr>
      <w:rPr>
        <w:noProof/>
      </w:rPr>
    </w:sdtEndPr>
    <w:sdtContent>
      <w:p w:rsidR="00875D01" w:rsidRDefault="00875D01">
        <w:pPr>
          <w:pStyle w:val="Footer"/>
          <w:jc w:val="center"/>
        </w:pPr>
        <w:r>
          <w:fldChar w:fldCharType="begin"/>
        </w:r>
        <w:r>
          <w:instrText xml:space="preserve"> PAGE   \* MERGEFORMAT </w:instrText>
        </w:r>
        <w:r>
          <w:fldChar w:fldCharType="separate"/>
        </w:r>
        <w:r w:rsidR="009B18CC">
          <w:rPr>
            <w:noProof/>
          </w:rPr>
          <w:t>1</w:t>
        </w:r>
        <w:r>
          <w:rPr>
            <w:noProof/>
          </w:rPr>
          <w:fldChar w:fldCharType="end"/>
        </w:r>
      </w:p>
    </w:sdtContent>
  </w:sdt>
  <w:p w:rsidR="00875D01" w:rsidRDefault="00875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704" w:rsidRDefault="00381704" w:rsidP="00527584">
      <w:pPr>
        <w:spacing w:after="0" w:line="240" w:lineRule="auto"/>
      </w:pPr>
      <w:r>
        <w:separator/>
      </w:r>
    </w:p>
  </w:footnote>
  <w:footnote w:type="continuationSeparator" w:id="0">
    <w:p w:rsidR="00381704" w:rsidRDefault="00381704" w:rsidP="00527584">
      <w:pPr>
        <w:spacing w:after="0" w:line="240" w:lineRule="auto"/>
      </w:pPr>
      <w:r>
        <w:continuationSeparator/>
      </w:r>
    </w:p>
  </w:footnote>
  <w:footnote w:id="1">
    <w:p w:rsidR="00875D01" w:rsidRPr="004B6E8E" w:rsidRDefault="00875D01" w:rsidP="004B6E8E">
      <w:pPr>
        <w:pStyle w:val="FootnoteText"/>
      </w:pPr>
    </w:p>
  </w:footnote>
  <w:footnote w:id="2">
    <w:p w:rsidR="00875D01" w:rsidRPr="004B6E8E" w:rsidRDefault="00875D01" w:rsidP="00F2355B">
      <w:pPr>
        <w:pStyle w:val="FootnoteText"/>
      </w:pPr>
    </w:p>
  </w:footnote>
  <w:footnote w:id="3">
    <w:p w:rsidR="00875D01" w:rsidRDefault="00875D01" w:rsidP="00472A27">
      <w:pPr>
        <w:pStyle w:val="FootnoteText"/>
      </w:pPr>
      <w:r>
        <w:rPr>
          <w:rStyle w:val="FootnoteReference"/>
        </w:rPr>
        <w:footnoteRef/>
      </w:r>
      <w:r>
        <w:t xml:space="preserve"> Expressed in terms of time from initial enrolment to completion</w:t>
      </w:r>
    </w:p>
  </w:footnote>
  <w:footnote w:id="4">
    <w:p w:rsidR="00875D01" w:rsidRDefault="00875D01" w:rsidP="00472A27">
      <w:pPr>
        <w:pStyle w:val="FootnoteText"/>
      </w:pPr>
      <w:r>
        <w:rPr>
          <w:rStyle w:val="FootnoteReference"/>
        </w:rPr>
        <w:footnoteRef/>
      </w:r>
      <w:r>
        <w:t xml:space="preserve"> Modules are only validated if they are to lead to a QQI award.</w:t>
      </w:r>
    </w:p>
  </w:footnote>
  <w:footnote w:id="5">
    <w:p w:rsidR="00875D01" w:rsidRDefault="00875D01" w:rsidP="002F69BD">
      <w:pPr>
        <w:pStyle w:val="FootnoteText"/>
      </w:pPr>
      <w:r>
        <w:rPr>
          <w:rStyle w:val="FootnoteReference"/>
        </w:rPr>
        <w:footnoteRef/>
      </w:r>
      <w:r>
        <w:t xml:space="preserve"> Expressed in terms of time from initial enrolment to completion</w:t>
      </w:r>
    </w:p>
  </w:footnote>
  <w:footnote w:id="6">
    <w:p w:rsidR="00875D01" w:rsidRPr="00D26C08" w:rsidRDefault="00875D01" w:rsidP="00472A27">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actually be provided and will not be halted on account of breach of the law. The declaration is sought to ensure this is not overlooked but QQI is not responsible for verifying this declaration of enforcing such requirements.     </w:t>
      </w:r>
    </w:p>
  </w:footnote>
  <w:footnote w:id="7">
    <w:p w:rsidR="00875D01" w:rsidRPr="00ED7462" w:rsidRDefault="00875D01" w:rsidP="00472A27">
      <w:pPr>
        <w:pStyle w:val="FootnoteText"/>
        <w:rPr>
          <w:lang w:val="en-GB"/>
        </w:rPr>
      </w:pPr>
      <w:r>
        <w:rPr>
          <w:rStyle w:val="FootnoteReference"/>
        </w:rPr>
        <w:footnoteRef/>
      </w:r>
      <w:r>
        <w:t xml:space="preserve"> </w:t>
      </w:r>
      <w:r w:rsidRPr="00ED7462">
        <w:t>Other programme objectives, for example, may be to meet the educational or training requirements of a statutory, regulatory or professional body.</w:t>
      </w:r>
    </w:p>
  </w:footnote>
  <w:footnote w:id="8">
    <w:p w:rsidR="00875D01" w:rsidRPr="00ED7462" w:rsidRDefault="00875D01" w:rsidP="00472A27">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9">
    <w:p w:rsidR="00875D01" w:rsidRPr="00D26C08" w:rsidRDefault="00875D01" w:rsidP="00472A27">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10">
    <w:p w:rsidR="00875D01" w:rsidRDefault="00875D01" w:rsidP="00472A27">
      <w:pPr>
        <w:pStyle w:val="FootnoteText"/>
      </w:pPr>
      <w:r>
        <w:rPr>
          <w:rStyle w:val="FootnoteReference"/>
        </w:rPr>
        <w:footnoteRef/>
      </w:r>
      <w:r>
        <w:t xml:space="preserve"> This might be predictive or indirect.</w:t>
      </w:r>
    </w:p>
  </w:footnote>
  <w:footnote w:id="11">
    <w:p w:rsidR="00875D01" w:rsidRDefault="00875D01" w:rsidP="00472A27">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12">
    <w:p w:rsidR="00875D01" w:rsidRPr="00D26C08" w:rsidRDefault="00875D01" w:rsidP="00472A27">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13">
    <w:p w:rsidR="00875D01" w:rsidRDefault="00875D01" w:rsidP="00472A27">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rsidR="00875D01" w:rsidRDefault="00875D01" w:rsidP="00C90305">
      <w:pPr>
        <w:pStyle w:val="FootnoteText"/>
        <w:numPr>
          <w:ilvl w:val="0"/>
          <w:numId w:val="13"/>
        </w:numPr>
      </w:pPr>
      <w:r>
        <w:t xml:space="preserve">Progression and transfer routes </w:t>
      </w:r>
    </w:p>
    <w:p w:rsidR="00875D01" w:rsidRDefault="00875D01" w:rsidP="00C90305">
      <w:pPr>
        <w:pStyle w:val="FootnoteText"/>
        <w:numPr>
          <w:ilvl w:val="0"/>
          <w:numId w:val="13"/>
        </w:numPr>
      </w:pPr>
      <w:r>
        <w:t>Entry arrangements</w:t>
      </w:r>
    </w:p>
    <w:p w:rsidR="00875D01" w:rsidRDefault="00875D01" w:rsidP="00C90305">
      <w:pPr>
        <w:pStyle w:val="FootnoteText"/>
        <w:numPr>
          <w:ilvl w:val="0"/>
          <w:numId w:val="13"/>
        </w:numPr>
      </w:pPr>
      <w:r>
        <w:t>Information provision</w:t>
      </w:r>
    </w:p>
  </w:footnote>
  <w:footnote w:id="14">
    <w:p w:rsidR="00875D01" w:rsidRPr="006A0CE5" w:rsidRDefault="00875D01" w:rsidP="00472A27">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5">
    <w:p w:rsidR="00875D01" w:rsidRDefault="00875D01" w:rsidP="00472A27">
      <w:pPr>
        <w:pStyle w:val="FootnoteText"/>
      </w:pPr>
      <w:r>
        <w:rPr>
          <w:rStyle w:val="FootnoteReference"/>
        </w:rPr>
        <w:footnoteRef/>
      </w:r>
      <w:r>
        <w:t xml:space="preserve"> This applies recursively to each and every element of the programme from enrolment through to completion.</w:t>
      </w:r>
    </w:p>
    <w:p w:rsidR="00875D01" w:rsidRPr="00D26C08" w:rsidRDefault="00875D01" w:rsidP="00472A27">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6">
    <w:p w:rsidR="00875D01" w:rsidRPr="00DC001B" w:rsidRDefault="00875D01" w:rsidP="00472A27">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17">
    <w:p w:rsidR="00875D01" w:rsidRPr="00DC001B" w:rsidRDefault="00875D01" w:rsidP="00472A27">
      <w:pPr>
        <w:pStyle w:val="FootnoteText"/>
      </w:pPr>
      <w:r w:rsidRPr="00DC001B">
        <w:rPr>
          <w:rStyle w:val="FootnoteReference"/>
        </w:rPr>
        <w:footnoteRef/>
      </w:r>
      <w:r w:rsidRPr="00DC001B">
        <w:t xml:space="preserve"> Staff here means natural persons required as part of the programme and accountable (directly or indirectly) to the programme’s provider, it may for example, include contracted trainers and workplace supervisors.  </w:t>
      </w:r>
    </w:p>
  </w:footnote>
  <w:footnote w:id="18">
    <w:p w:rsidR="00875D01" w:rsidRPr="00DC001B" w:rsidRDefault="00875D01" w:rsidP="00472A27">
      <w:pPr>
        <w:pStyle w:val="FootnoteText"/>
      </w:pPr>
      <w:r w:rsidRPr="00DC001B">
        <w:rPr>
          <w:rStyle w:val="FootnoteReference"/>
        </w:rPr>
        <w:footnoteRef/>
      </w:r>
      <w:r w:rsidRPr="00DC001B">
        <w:t xml:space="preserve"> Development here is for the purpose of ensuring staff remain up-to-date on the discipline itself, on teaching methods or on other relevant skills or knowledge, to the extent that this is necessary to ensure an adequate standard of teaching.</w:t>
      </w:r>
    </w:p>
  </w:footnote>
  <w:footnote w:id="19">
    <w:p w:rsidR="00875D01" w:rsidRPr="00D26C08" w:rsidRDefault="00875D01" w:rsidP="00472A27">
      <w:pPr>
        <w:pStyle w:val="FootnoteText"/>
      </w:pPr>
      <w:r w:rsidRPr="00DC001B">
        <w:rPr>
          <w:rStyle w:val="FootnoteReference"/>
        </w:rPr>
        <w:footnoteRef/>
      </w:r>
      <w:r w:rsidRPr="00DC001B">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20">
    <w:p w:rsidR="00875D01" w:rsidRDefault="00875D01" w:rsidP="00472A27">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literacy and numeracy support.</w:t>
      </w:r>
    </w:p>
  </w:footnote>
  <w:footnote w:id="21">
    <w:p w:rsidR="00875D01" w:rsidRPr="00DC001B" w:rsidRDefault="00875D01" w:rsidP="00472A27">
      <w:pPr>
        <w:pStyle w:val="FootnoteText"/>
      </w:pPr>
      <w:r w:rsidRPr="00DC001B">
        <w:rPr>
          <w:rStyle w:val="FootnoteReference"/>
        </w:rPr>
        <w:footnoteRef/>
      </w:r>
      <w:r w:rsidRPr="00DC001B">
        <w:t xml:space="preserve"> See the section on transitional arrangements.</w:t>
      </w:r>
    </w:p>
  </w:footnote>
  <w:footnote w:id="22">
    <w:p w:rsidR="00875D01" w:rsidRPr="00DC001B" w:rsidRDefault="00875D01" w:rsidP="00472A27">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23">
    <w:p w:rsidR="00875D01" w:rsidRPr="00D26C08" w:rsidRDefault="00875D01" w:rsidP="00472A27">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24">
    <w:p w:rsidR="00875D01" w:rsidRPr="00D26C08" w:rsidRDefault="00875D01" w:rsidP="00472A27">
      <w:pPr>
        <w:pStyle w:val="FootnoteText"/>
      </w:pPr>
      <w:r>
        <w:rPr>
          <w:rStyle w:val="FootnoteReference"/>
        </w:rPr>
        <w:footnoteRef/>
      </w:r>
      <w:r>
        <w:t xml:space="preserve"> </w:t>
      </w:r>
      <w:r w:rsidRPr="00D26C08">
        <w:t xml:space="preserve">If the award is a QQI CAS compound award it is not necessarily sufficient that the learner has achieved all the components specified in the certification requirements unless at least one of those components is a capstone component (i.e. designed to test the compound learning outcomes).   </w:t>
      </w:r>
    </w:p>
  </w:footnote>
  <w:footnote w:id="25">
    <w:p w:rsidR="00875D01" w:rsidRPr="00E46CEF" w:rsidRDefault="00875D01" w:rsidP="00472A27">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6">
    <w:p w:rsidR="00875D01" w:rsidRPr="00E46CEF" w:rsidRDefault="00875D01" w:rsidP="00472A27">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7">
    <w:p w:rsidR="00875D01" w:rsidRPr="00E46CEF" w:rsidRDefault="00875D01" w:rsidP="00472A27">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 w:id="28">
    <w:p w:rsidR="00875D01" w:rsidRPr="0028757D" w:rsidRDefault="00875D01" w:rsidP="00472A27">
      <w:pPr>
        <w:pStyle w:val="FootnoteText"/>
      </w:pPr>
      <w:r>
        <w:rPr>
          <w:rStyle w:val="FootnoteReference"/>
        </w:rPr>
        <w:footnoteRef/>
      </w:r>
      <w:r>
        <w:t xml:space="preserve"> </w:t>
      </w:r>
      <w:r w:rsidRPr="0028757D">
        <w:t>Normally an application that fails to meet the criteria in any of its aspects will be considered as not satisfactory.  Nevertheless, so as to ensure that the validation process will not be implemented unreasonably, if an independent evaluation finds that a programme virtually meets the validation criteria but needs some minor modifications, the independent evaluation could conclude “Satisfactory subject to recommended special conditions” where the special conditions prescribe the defects that require to be corrected.</w:t>
      </w:r>
    </w:p>
  </w:footnote>
  <w:footnote w:id="29">
    <w:p w:rsidR="00875D01" w:rsidRDefault="00875D01" w:rsidP="00472A27">
      <w:pPr>
        <w:pStyle w:val="FootnoteText"/>
      </w:pPr>
      <w:r>
        <w:rPr>
          <w:rStyle w:val="FootnoteReference"/>
        </w:rPr>
        <w:footnoteRef/>
      </w:r>
      <w:r>
        <w:t xml:space="preserve"> </w:t>
      </w:r>
      <w:r w:rsidRPr="00BA44E0">
        <w:t>Give precise reasons for the conclusions organised under each of the 12 criteria (for the programme and each embedded programme and any modules proposed to lead to QQI awards) citing supporting evidence. If any criteria or sub-criteria are not met by the application this must be stated explicitly giving precise reasons with evidence.  A “Not Satisfactory” recommendation may be justified if any one of the applicable criteria or sub-criteria are not demonstrated to be satisfied.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01" w:rsidRDefault="00875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9D3"/>
    <w:multiLevelType w:val="hybridMultilevel"/>
    <w:tmpl w:val="A0BCD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00525E"/>
    <w:multiLevelType w:val="hybridMultilevel"/>
    <w:tmpl w:val="160E5AE0"/>
    <w:lvl w:ilvl="0" w:tplc="9B9A087E">
      <w:start w:val="9"/>
      <w:numFmt w:val="bullet"/>
      <w:lvlText w:val="-"/>
      <w:lvlJc w:val="left"/>
      <w:pPr>
        <w:ind w:left="1440" w:hanging="360"/>
      </w:pPr>
      <w:rPr>
        <w:rFonts w:ascii="Arial" w:eastAsiaTheme="minorHAnsi" w:hAnsi="Arial" w:cs="Arial" w:hint="default"/>
      </w:rPr>
    </w:lvl>
    <w:lvl w:ilvl="1" w:tplc="86DE5180">
      <w:numFmt w:val="bullet"/>
      <w:lvlText w:val=""/>
      <w:lvlJc w:val="left"/>
      <w:pPr>
        <w:ind w:left="2160" w:hanging="360"/>
      </w:pPr>
      <w:rPr>
        <w:rFonts w:ascii="Wingdings" w:eastAsiaTheme="minorHAnsi" w:hAnsi="Wingdings" w:cstheme="minorBidi"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00DEB"/>
    <w:multiLevelType w:val="multilevel"/>
    <w:tmpl w:val="2D90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94AFD"/>
    <w:multiLevelType w:val="hybridMultilevel"/>
    <w:tmpl w:val="D89A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103186"/>
    <w:multiLevelType w:val="hybridMultilevel"/>
    <w:tmpl w:val="CB8439CC"/>
    <w:lvl w:ilvl="0" w:tplc="F5962EA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E2199"/>
    <w:multiLevelType w:val="hybridMultilevel"/>
    <w:tmpl w:val="63728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C76CB"/>
    <w:multiLevelType w:val="hybridMultilevel"/>
    <w:tmpl w:val="3E78E9F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17EBB2A">
      <w:start w:val="7"/>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6543B"/>
    <w:multiLevelType w:val="hybridMultilevel"/>
    <w:tmpl w:val="582AB7E2"/>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FE1C1606">
      <w:start w:val="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A0ED1"/>
    <w:multiLevelType w:val="hybridMultilevel"/>
    <w:tmpl w:val="10CCD602"/>
    <w:lvl w:ilvl="0" w:tplc="D28E229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40485B"/>
    <w:multiLevelType w:val="hybridMultilevel"/>
    <w:tmpl w:val="2690C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A26950"/>
    <w:multiLevelType w:val="hybridMultilevel"/>
    <w:tmpl w:val="FD344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1348DF"/>
    <w:multiLevelType w:val="hybridMultilevel"/>
    <w:tmpl w:val="8CE0F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A8B34D2"/>
    <w:multiLevelType w:val="multilevel"/>
    <w:tmpl w:val="2DB4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25" w15:restartNumberingAfterBreak="0">
    <w:nsid w:val="4EF55E13"/>
    <w:multiLevelType w:val="hybridMultilevel"/>
    <w:tmpl w:val="7F462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A414AC"/>
    <w:multiLevelType w:val="hybridMultilevel"/>
    <w:tmpl w:val="04744A20"/>
    <w:lvl w:ilvl="0" w:tplc="14090001">
      <w:start w:val="1"/>
      <w:numFmt w:val="bullet"/>
      <w:lvlText w:val=""/>
      <w:lvlJc w:val="left"/>
      <w:pPr>
        <w:ind w:left="720" w:hanging="360"/>
      </w:pPr>
      <w:rPr>
        <w:rFonts w:ascii="Symbol" w:hAnsi="Symbol" w:hint="default"/>
      </w:rPr>
    </w:lvl>
    <w:lvl w:ilvl="1" w:tplc="2B64EF7C">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2042B4"/>
    <w:multiLevelType w:val="hybridMultilevel"/>
    <w:tmpl w:val="87AA2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500D42"/>
    <w:multiLevelType w:val="hybridMultilevel"/>
    <w:tmpl w:val="83A496E6"/>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E4491E"/>
    <w:multiLevelType w:val="hybridMultilevel"/>
    <w:tmpl w:val="808E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E7058"/>
    <w:multiLevelType w:val="multilevel"/>
    <w:tmpl w:val="57B880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BE2401F"/>
    <w:multiLevelType w:val="hybridMultilevel"/>
    <w:tmpl w:val="2968DCF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3C4CEDE">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556485"/>
    <w:multiLevelType w:val="hybridMultilevel"/>
    <w:tmpl w:val="270A0CA8"/>
    <w:lvl w:ilvl="0" w:tplc="56F8E59C">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C86417D"/>
    <w:multiLevelType w:val="multilevel"/>
    <w:tmpl w:val="5DF8488A"/>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2424DA8"/>
    <w:multiLevelType w:val="hybridMultilevel"/>
    <w:tmpl w:val="6B90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278F7"/>
    <w:multiLevelType w:val="hybridMultilevel"/>
    <w:tmpl w:val="1B4225E0"/>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7DC449C2">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047B1A"/>
    <w:multiLevelType w:val="hybridMultilevel"/>
    <w:tmpl w:val="BD0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5255A"/>
    <w:multiLevelType w:val="hybridMultilevel"/>
    <w:tmpl w:val="57B638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1F93C2C"/>
    <w:multiLevelType w:val="hybridMultilevel"/>
    <w:tmpl w:val="4650EB20"/>
    <w:lvl w:ilvl="0" w:tplc="5838C2C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BC56F3"/>
    <w:multiLevelType w:val="hybridMultilevel"/>
    <w:tmpl w:val="06961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41"/>
  </w:num>
  <w:num w:numId="4">
    <w:abstractNumId w:val="39"/>
  </w:num>
  <w:num w:numId="5">
    <w:abstractNumId w:val="22"/>
  </w:num>
  <w:num w:numId="6">
    <w:abstractNumId w:val="15"/>
  </w:num>
  <w:num w:numId="7">
    <w:abstractNumId w:val="2"/>
  </w:num>
  <w:num w:numId="8">
    <w:abstractNumId w:val="11"/>
  </w:num>
  <w:num w:numId="9">
    <w:abstractNumId w:val="10"/>
  </w:num>
  <w:num w:numId="10">
    <w:abstractNumId w:val="8"/>
  </w:num>
  <w:num w:numId="11">
    <w:abstractNumId w:val="19"/>
  </w:num>
  <w:num w:numId="12">
    <w:abstractNumId w:val="16"/>
  </w:num>
  <w:num w:numId="13">
    <w:abstractNumId w:val="23"/>
  </w:num>
  <w:num w:numId="14">
    <w:abstractNumId w:val="18"/>
  </w:num>
  <w:num w:numId="15">
    <w:abstractNumId w:val="14"/>
  </w:num>
  <w:num w:numId="16">
    <w:abstractNumId w:val="9"/>
  </w:num>
  <w:num w:numId="17">
    <w:abstractNumId w:val="6"/>
  </w:num>
  <w:num w:numId="18">
    <w:abstractNumId w:val="35"/>
  </w:num>
  <w:num w:numId="19">
    <w:abstractNumId w:val="12"/>
  </w:num>
  <w:num w:numId="20">
    <w:abstractNumId w:val="40"/>
  </w:num>
  <w:num w:numId="21">
    <w:abstractNumId w:val="31"/>
  </w:num>
  <w:num w:numId="22">
    <w:abstractNumId w:val="13"/>
  </w:num>
  <w:num w:numId="23">
    <w:abstractNumId w:val="7"/>
  </w:num>
  <w:num w:numId="24">
    <w:abstractNumId w:val="28"/>
  </w:num>
  <w:num w:numId="25">
    <w:abstractNumId w:val="1"/>
  </w:num>
  <w:num w:numId="26">
    <w:abstractNumId w:val="24"/>
  </w:num>
  <w:num w:numId="27">
    <w:abstractNumId w:val="32"/>
  </w:num>
  <w:num w:numId="28">
    <w:abstractNumId w:val="38"/>
  </w:num>
  <w:num w:numId="29">
    <w:abstractNumId w:val="5"/>
  </w:num>
  <w:num w:numId="30">
    <w:abstractNumId w:val="29"/>
  </w:num>
  <w:num w:numId="31">
    <w:abstractNumId w:val="34"/>
  </w:num>
  <w:num w:numId="32">
    <w:abstractNumId w:val="36"/>
  </w:num>
  <w:num w:numId="33">
    <w:abstractNumId w:val="3"/>
  </w:num>
  <w:num w:numId="34">
    <w:abstractNumId w:val="30"/>
  </w:num>
  <w:num w:numId="35">
    <w:abstractNumId w:val="21"/>
  </w:num>
  <w:num w:numId="36">
    <w:abstractNumId w:val="42"/>
  </w:num>
  <w:num w:numId="37">
    <w:abstractNumId w:val="3"/>
  </w:num>
  <w:num w:numId="38">
    <w:abstractNumId w:val="33"/>
    <w:lvlOverride w:ilvl="0">
      <w:startOverride w:val="7"/>
    </w:lvlOverride>
    <w:lvlOverride w:ilvl="1">
      <w:startOverride w:val="2"/>
    </w:lvlOverride>
  </w:num>
  <w:num w:numId="39">
    <w:abstractNumId w:val="33"/>
    <w:lvlOverride w:ilvl="0">
      <w:startOverride w:val="7"/>
    </w:lvlOverride>
    <w:lvlOverride w:ilvl="1">
      <w:startOverride w:val="5"/>
    </w:lvlOverride>
  </w:num>
  <w:num w:numId="40">
    <w:abstractNumId w:val="26"/>
  </w:num>
  <w:num w:numId="41">
    <w:abstractNumId w:val="25"/>
  </w:num>
  <w:num w:numId="42">
    <w:abstractNumId w:val="20"/>
  </w:num>
  <w:num w:numId="43">
    <w:abstractNumId w:val="37"/>
  </w:num>
  <w:num w:numId="44">
    <w:abstractNumId w:val="0"/>
  </w:num>
  <w:num w:numId="45">
    <w:abstractNumId w:val="17"/>
  </w:num>
  <w:num w:numId="46">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84"/>
    <w:rsid w:val="0000088B"/>
    <w:rsid w:val="00000912"/>
    <w:rsid w:val="00013831"/>
    <w:rsid w:val="00022B38"/>
    <w:rsid w:val="00023EA4"/>
    <w:rsid w:val="00024768"/>
    <w:rsid w:val="000404A0"/>
    <w:rsid w:val="00040A72"/>
    <w:rsid w:val="0004461B"/>
    <w:rsid w:val="0005598B"/>
    <w:rsid w:val="0008667A"/>
    <w:rsid w:val="00096CAF"/>
    <w:rsid w:val="000A3F70"/>
    <w:rsid w:val="000C24E2"/>
    <w:rsid w:val="000C5C3B"/>
    <w:rsid w:val="000C7111"/>
    <w:rsid w:val="000C772E"/>
    <w:rsid w:val="000D7DF1"/>
    <w:rsid w:val="000F0485"/>
    <w:rsid w:val="000F240A"/>
    <w:rsid w:val="000F524C"/>
    <w:rsid w:val="000F5E35"/>
    <w:rsid w:val="00100981"/>
    <w:rsid w:val="00100EBC"/>
    <w:rsid w:val="00124078"/>
    <w:rsid w:val="001252A0"/>
    <w:rsid w:val="00126B93"/>
    <w:rsid w:val="00131E67"/>
    <w:rsid w:val="00132939"/>
    <w:rsid w:val="00146CEF"/>
    <w:rsid w:val="00160319"/>
    <w:rsid w:val="001A1416"/>
    <w:rsid w:val="001A3CF6"/>
    <w:rsid w:val="001A453F"/>
    <w:rsid w:val="001C0F0B"/>
    <w:rsid w:val="001D3DE8"/>
    <w:rsid w:val="001E4DCC"/>
    <w:rsid w:val="001F346E"/>
    <w:rsid w:val="001F41E1"/>
    <w:rsid w:val="002144DC"/>
    <w:rsid w:val="002159C4"/>
    <w:rsid w:val="00233784"/>
    <w:rsid w:val="002403CA"/>
    <w:rsid w:val="00244BA6"/>
    <w:rsid w:val="00254D7C"/>
    <w:rsid w:val="00257123"/>
    <w:rsid w:val="002743DB"/>
    <w:rsid w:val="00275E08"/>
    <w:rsid w:val="00284CD5"/>
    <w:rsid w:val="00294E1F"/>
    <w:rsid w:val="002A4155"/>
    <w:rsid w:val="002A4E9C"/>
    <w:rsid w:val="002B4A51"/>
    <w:rsid w:val="002B564C"/>
    <w:rsid w:val="002B636C"/>
    <w:rsid w:val="002C0C2D"/>
    <w:rsid w:val="002C6901"/>
    <w:rsid w:val="002F69BD"/>
    <w:rsid w:val="003044A4"/>
    <w:rsid w:val="003072B7"/>
    <w:rsid w:val="00324690"/>
    <w:rsid w:val="0033772B"/>
    <w:rsid w:val="003419B8"/>
    <w:rsid w:val="00364FAA"/>
    <w:rsid w:val="00366C27"/>
    <w:rsid w:val="00381704"/>
    <w:rsid w:val="003A76B3"/>
    <w:rsid w:val="003B1BBF"/>
    <w:rsid w:val="003C0752"/>
    <w:rsid w:val="003E144B"/>
    <w:rsid w:val="003E271E"/>
    <w:rsid w:val="003E6CE8"/>
    <w:rsid w:val="003F1B94"/>
    <w:rsid w:val="003F6F44"/>
    <w:rsid w:val="00412D89"/>
    <w:rsid w:val="00413D3E"/>
    <w:rsid w:val="00415B0E"/>
    <w:rsid w:val="00417A4C"/>
    <w:rsid w:val="00422499"/>
    <w:rsid w:val="00425E41"/>
    <w:rsid w:val="004265F3"/>
    <w:rsid w:val="0043135C"/>
    <w:rsid w:val="004402BE"/>
    <w:rsid w:val="0045507C"/>
    <w:rsid w:val="00455EE6"/>
    <w:rsid w:val="00472A27"/>
    <w:rsid w:val="00482960"/>
    <w:rsid w:val="00482A54"/>
    <w:rsid w:val="00483C1F"/>
    <w:rsid w:val="00493450"/>
    <w:rsid w:val="00497258"/>
    <w:rsid w:val="004B5876"/>
    <w:rsid w:val="004B6E8E"/>
    <w:rsid w:val="004C6391"/>
    <w:rsid w:val="004D23F8"/>
    <w:rsid w:val="004E2776"/>
    <w:rsid w:val="0052709A"/>
    <w:rsid w:val="00527584"/>
    <w:rsid w:val="005748B8"/>
    <w:rsid w:val="0058113D"/>
    <w:rsid w:val="00584A0B"/>
    <w:rsid w:val="00594CE5"/>
    <w:rsid w:val="005A0483"/>
    <w:rsid w:val="005B3AA2"/>
    <w:rsid w:val="005C0200"/>
    <w:rsid w:val="005C097B"/>
    <w:rsid w:val="005C17FB"/>
    <w:rsid w:val="005D5C25"/>
    <w:rsid w:val="005E784B"/>
    <w:rsid w:val="005F0765"/>
    <w:rsid w:val="00620FE9"/>
    <w:rsid w:val="00623929"/>
    <w:rsid w:val="00634D06"/>
    <w:rsid w:val="00637F47"/>
    <w:rsid w:val="00645B53"/>
    <w:rsid w:val="0065569C"/>
    <w:rsid w:val="006A0FE0"/>
    <w:rsid w:val="006A2D14"/>
    <w:rsid w:val="006B0C98"/>
    <w:rsid w:val="006B11D2"/>
    <w:rsid w:val="006B5855"/>
    <w:rsid w:val="006D0562"/>
    <w:rsid w:val="006F0ACA"/>
    <w:rsid w:val="006F4697"/>
    <w:rsid w:val="00736328"/>
    <w:rsid w:val="0078217D"/>
    <w:rsid w:val="00792800"/>
    <w:rsid w:val="00794F57"/>
    <w:rsid w:val="00797326"/>
    <w:rsid w:val="007A37CE"/>
    <w:rsid w:val="007B1786"/>
    <w:rsid w:val="007B35ED"/>
    <w:rsid w:val="007B418A"/>
    <w:rsid w:val="007B5D6E"/>
    <w:rsid w:val="007C6464"/>
    <w:rsid w:val="007F592B"/>
    <w:rsid w:val="00800A92"/>
    <w:rsid w:val="008016CD"/>
    <w:rsid w:val="0081383C"/>
    <w:rsid w:val="00837435"/>
    <w:rsid w:val="008477CF"/>
    <w:rsid w:val="00847D9A"/>
    <w:rsid w:val="008534C0"/>
    <w:rsid w:val="008571F8"/>
    <w:rsid w:val="00867D9E"/>
    <w:rsid w:val="00875D01"/>
    <w:rsid w:val="0088109B"/>
    <w:rsid w:val="008876FB"/>
    <w:rsid w:val="00895424"/>
    <w:rsid w:val="00895736"/>
    <w:rsid w:val="008A6885"/>
    <w:rsid w:val="008B2BF5"/>
    <w:rsid w:val="008C1BFF"/>
    <w:rsid w:val="008C5ED2"/>
    <w:rsid w:val="008C7270"/>
    <w:rsid w:val="008D7CA7"/>
    <w:rsid w:val="008F0EA6"/>
    <w:rsid w:val="008F24BF"/>
    <w:rsid w:val="00903692"/>
    <w:rsid w:val="00915AEF"/>
    <w:rsid w:val="009230AE"/>
    <w:rsid w:val="0099048A"/>
    <w:rsid w:val="009B18CC"/>
    <w:rsid w:val="009B1986"/>
    <w:rsid w:val="009C7C20"/>
    <w:rsid w:val="009D10DE"/>
    <w:rsid w:val="009F7970"/>
    <w:rsid w:val="00A041D8"/>
    <w:rsid w:val="00A26199"/>
    <w:rsid w:val="00A334B9"/>
    <w:rsid w:val="00A36474"/>
    <w:rsid w:val="00A43633"/>
    <w:rsid w:val="00A47DF0"/>
    <w:rsid w:val="00A624D5"/>
    <w:rsid w:val="00A67F6D"/>
    <w:rsid w:val="00A84D15"/>
    <w:rsid w:val="00A9706D"/>
    <w:rsid w:val="00AE5B75"/>
    <w:rsid w:val="00AF2FE5"/>
    <w:rsid w:val="00B003D1"/>
    <w:rsid w:val="00B11A81"/>
    <w:rsid w:val="00B26047"/>
    <w:rsid w:val="00B33820"/>
    <w:rsid w:val="00B360FB"/>
    <w:rsid w:val="00B51F0C"/>
    <w:rsid w:val="00B54FFD"/>
    <w:rsid w:val="00B618FC"/>
    <w:rsid w:val="00B65CDB"/>
    <w:rsid w:val="00B70C8A"/>
    <w:rsid w:val="00B72910"/>
    <w:rsid w:val="00B800E1"/>
    <w:rsid w:val="00B83C7A"/>
    <w:rsid w:val="00B94E05"/>
    <w:rsid w:val="00BD0B41"/>
    <w:rsid w:val="00BD0F0D"/>
    <w:rsid w:val="00BE6296"/>
    <w:rsid w:val="00BF0960"/>
    <w:rsid w:val="00BF1796"/>
    <w:rsid w:val="00BF2A80"/>
    <w:rsid w:val="00BF3BDC"/>
    <w:rsid w:val="00BF4ED1"/>
    <w:rsid w:val="00BF77FC"/>
    <w:rsid w:val="00C00DDC"/>
    <w:rsid w:val="00C176F2"/>
    <w:rsid w:val="00C205CB"/>
    <w:rsid w:val="00C23B21"/>
    <w:rsid w:val="00C34843"/>
    <w:rsid w:val="00C373AE"/>
    <w:rsid w:val="00C54B53"/>
    <w:rsid w:val="00C57D89"/>
    <w:rsid w:val="00C57DBD"/>
    <w:rsid w:val="00C63662"/>
    <w:rsid w:val="00C678EF"/>
    <w:rsid w:val="00C740D3"/>
    <w:rsid w:val="00C81F07"/>
    <w:rsid w:val="00C90305"/>
    <w:rsid w:val="00CB25FE"/>
    <w:rsid w:val="00CD18DA"/>
    <w:rsid w:val="00CD4204"/>
    <w:rsid w:val="00CD6BB1"/>
    <w:rsid w:val="00CD6EED"/>
    <w:rsid w:val="00CE642A"/>
    <w:rsid w:val="00CF0966"/>
    <w:rsid w:val="00CF298B"/>
    <w:rsid w:val="00CF5E5E"/>
    <w:rsid w:val="00D04FFC"/>
    <w:rsid w:val="00D1143B"/>
    <w:rsid w:val="00D24225"/>
    <w:rsid w:val="00D2578D"/>
    <w:rsid w:val="00D30681"/>
    <w:rsid w:val="00D45A0F"/>
    <w:rsid w:val="00D83F8C"/>
    <w:rsid w:val="00D86505"/>
    <w:rsid w:val="00D97A00"/>
    <w:rsid w:val="00DA674A"/>
    <w:rsid w:val="00DA6AE3"/>
    <w:rsid w:val="00DC25B1"/>
    <w:rsid w:val="00DE2548"/>
    <w:rsid w:val="00E00B24"/>
    <w:rsid w:val="00E06088"/>
    <w:rsid w:val="00E10399"/>
    <w:rsid w:val="00E239C0"/>
    <w:rsid w:val="00E52052"/>
    <w:rsid w:val="00E70C7D"/>
    <w:rsid w:val="00E74A21"/>
    <w:rsid w:val="00E826FC"/>
    <w:rsid w:val="00E843D8"/>
    <w:rsid w:val="00E955F1"/>
    <w:rsid w:val="00EA4C6F"/>
    <w:rsid w:val="00EB6B4F"/>
    <w:rsid w:val="00ED2635"/>
    <w:rsid w:val="00ED5488"/>
    <w:rsid w:val="00ED6621"/>
    <w:rsid w:val="00ED6B93"/>
    <w:rsid w:val="00EE6A10"/>
    <w:rsid w:val="00EF24D1"/>
    <w:rsid w:val="00F0098C"/>
    <w:rsid w:val="00F12EE2"/>
    <w:rsid w:val="00F1455B"/>
    <w:rsid w:val="00F2355B"/>
    <w:rsid w:val="00F24E57"/>
    <w:rsid w:val="00F30578"/>
    <w:rsid w:val="00F32C08"/>
    <w:rsid w:val="00F358AB"/>
    <w:rsid w:val="00F5307F"/>
    <w:rsid w:val="00F55BDB"/>
    <w:rsid w:val="00F66330"/>
    <w:rsid w:val="00F7399F"/>
    <w:rsid w:val="00F73E9F"/>
    <w:rsid w:val="00F91A7F"/>
    <w:rsid w:val="00FA215E"/>
    <w:rsid w:val="00FA4ADB"/>
    <w:rsid w:val="00FC0075"/>
    <w:rsid w:val="00FC10F8"/>
    <w:rsid w:val="00FC2199"/>
    <w:rsid w:val="00FC49AE"/>
    <w:rsid w:val="00FC6F5E"/>
    <w:rsid w:val="00FF1E45"/>
    <w:rsid w:val="4B8030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256004-E477-4B19-BEA0-5B4A4B76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60"/>
  </w:style>
  <w:style w:type="paragraph" w:styleId="Heading1">
    <w:name w:val="heading 1"/>
    <w:basedOn w:val="Normal"/>
    <w:next w:val="Normal"/>
    <w:link w:val="Heading1Char"/>
    <w:uiPriority w:val="9"/>
    <w:qFormat/>
    <w:rsid w:val="00472A27"/>
    <w:pPr>
      <w:keepNext/>
      <w:keepLines/>
      <w:numPr>
        <w:numId w:val="1"/>
      </w:numPr>
      <w:spacing w:before="240" w:after="0"/>
      <w:outlineLvl w:val="0"/>
    </w:pPr>
    <w:rPr>
      <w:rFonts w:ascii="Lucida Sans" w:eastAsiaTheme="majorEastAsia" w:hAnsi="Lucida Sans" w:cstheme="majorBidi"/>
      <w:sz w:val="24"/>
      <w:szCs w:val="32"/>
    </w:rPr>
  </w:style>
  <w:style w:type="paragraph" w:styleId="Heading2">
    <w:name w:val="heading 2"/>
    <w:basedOn w:val="Normal"/>
    <w:next w:val="Normal"/>
    <w:link w:val="Heading2Char"/>
    <w:uiPriority w:val="9"/>
    <w:unhideWhenUsed/>
    <w:qFormat/>
    <w:rsid w:val="00527584"/>
    <w:pPr>
      <w:keepNext/>
      <w:keepLines/>
      <w:numPr>
        <w:ilvl w:val="1"/>
        <w:numId w:val="1"/>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758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758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758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2758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2758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758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758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27584"/>
    <w:pPr>
      <w:spacing w:after="0" w:line="240" w:lineRule="auto"/>
    </w:pPr>
    <w:rPr>
      <w:sz w:val="20"/>
      <w:szCs w:val="20"/>
    </w:rPr>
  </w:style>
  <w:style w:type="character" w:customStyle="1" w:styleId="FootnoteTextChar">
    <w:name w:val="Footnote Text Char"/>
    <w:basedOn w:val="DefaultParagraphFont"/>
    <w:link w:val="FootnoteText"/>
    <w:uiPriority w:val="99"/>
    <w:rsid w:val="00527584"/>
    <w:rPr>
      <w:sz w:val="20"/>
      <w:szCs w:val="20"/>
    </w:rPr>
  </w:style>
  <w:style w:type="character" w:styleId="FootnoteReference">
    <w:name w:val="footnote reference"/>
    <w:uiPriority w:val="99"/>
    <w:unhideWhenUsed/>
    <w:rsid w:val="00527584"/>
    <w:rPr>
      <w:vertAlign w:val="superscript"/>
    </w:rPr>
  </w:style>
  <w:style w:type="character" w:customStyle="1" w:styleId="Heading1Char">
    <w:name w:val="Heading 1 Char"/>
    <w:basedOn w:val="DefaultParagraphFont"/>
    <w:link w:val="Heading1"/>
    <w:uiPriority w:val="9"/>
    <w:rsid w:val="00472A27"/>
    <w:rPr>
      <w:rFonts w:ascii="Lucida Sans" w:eastAsiaTheme="majorEastAsia" w:hAnsi="Lucida Sans" w:cstheme="majorBidi"/>
      <w:sz w:val="24"/>
      <w:szCs w:val="32"/>
    </w:rPr>
  </w:style>
  <w:style w:type="character" w:customStyle="1" w:styleId="Heading2Char">
    <w:name w:val="Heading 2 Char"/>
    <w:basedOn w:val="DefaultParagraphFont"/>
    <w:link w:val="Heading2"/>
    <w:uiPriority w:val="9"/>
    <w:rsid w:val="005275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2758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2758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2758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2758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2758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275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758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F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F0EA6"/>
    <w:pPr>
      <w:spacing w:after="100"/>
    </w:pPr>
  </w:style>
  <w:style w:type="paragraph" w:styleId="TOC2">
    <w:name w:val="toc 2"/>
    <w:basedOn w:val="Normal"/>
    <w:next w:val="Normal"/>
    <w:autoRedefine/>
    <w:uiPriority w:val="39"/>
    <w:unhideWhenUsed/>
    <w:rsid w:val="008F0EA6"/>
    <w:pPr>
      <w:spacing w:after="100"/>
      <w:ind w:left="220"/>
    </w:pPr>
  </w:style>
  <w:style w:type="character" w:styleId="Hyperlink">
    <w:name w:val="Hyperlink"/>
    <w:basedOn w:val="DefaultParagraphFont"/>
    <w:uiPriority w:val="99"/>
    <w:unhideWhenUsed/>
    <w:rsid w:val="008F0EA6"/>
    <w:rPr>
      <w:color w:val="0563C1" w:themeColor="hyperlink"/>
      <w:u w:val="single"/>
    </w:rPr>
  </w:style>
  <w:style w:type="paragraph" w:styleId="Header">
    <w:name w:val="header"/>
    <w:basedOn w:val="Normal"/>
    <w:link w:val="HeaderChar"/>
    <w:uiPriority w:val="99"/>
    <w:unhideWhenUsed/>
    <w:rsid w:val="004B6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E8E"/>
  </w:style>
  <w:style w:type="paragraph" w:styleId="Footer">
    <w:name w:val="footer"/>
    <w:basedOn w:val="Normal"/>
    <w:link w:val="FooterChar"/>
    <w:uiPriority w:val="99"/>
    <w:unhideWhenUsed/>
    <w:rsid w:val="004B6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E8E"/>
  </w:style>
  <w:style w:type="paragraph" w:styleId="ListParagraph">
    <w:name w:val="List Paragraph"/>
    <w:basedOn w:val="Normal"/>
    <w:link w:val="ListParagraphChar"/>
    <w:uiPriority w:val="34"/>
    <w:qFormat/>
    <w:rsid w:val="00472A27"/>
    <w:pPr>
      <w:ind w:left="720"/>
      <w:contextualSpacing/>
    </w:pPr>
  </w:style>
  <w:style w:type="paragraph" w:styleId="Title">
    <w:name w:val="Title"/>
    <w:basedOn w:val="Normal"/>
    <w:next w:val="Normal"/>
    <w:link w:val="TitleChar"/>
    <w:uiPriority w:val="10"/>
    <w:qFormat/>
    <w:rsid w:val="00472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A27"/>
    <w:rPr>
      <w:rFonts w:asciiTheme="majorHAnsi" w:eastAsiaTheme="majorEastAsia" w:hAnsiTheme="majorHAnsi" w:cstheme="majorBidi"/>
      <w:spacing w:val="-10"/>
      <w:kern w:val="28"/>
      <w:sz w:val="56"/>
      <w:szCs w:val="56"/>
    </w:rPr>
  </w:style>
  <w:style w:type="paragraph" w:styleId="NoSpacing">
    <w:name w:val="No Spacing"/>
    <w:uiPriority w:val="1"/>
    <w:qFormat/>
    <w:rsid w:val="00472A27"/>
    <w:pPr>
      <w:spacing w:after="0" w:line="240" w:lineRule="auto"/>
    </w:pPr>
  </w:style>
  <w:style w:type="table" w:customStyle="1" w:styleId="TableGrid1">
    <w:name w:val="Table Grid1"/>
    <w:basedOn w:val="TableNormal"/>
    <w:next w:val="TableGrid"/>
    <w:uiPriority w:val="39"/>
    <w:rsid w:val="0047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2A27"/>
    <w:pPr>
      <w:suppressAutoHyphens/>
      <w:spacing w:after="120" w:line="240" w:lineRule="auto"/>
    </w:pPr>
    <w:rPr>
      <w:rFonts w:ascii="Calibri" w:eastAsia="Times New Roman" w:hAnsi="Calibri" w:cs="Times New Roman"/>
      <w:szCs w:val="24"/>
      <w:lang w:eastAsia="ar-SA"/>
    </w:rPr>
  </w:style>
  <w:style w:type="character" w:customStyle="1" w:styleId="BodyTextChar">
    <w:name w:val="Body Text Char"/>
    <w:basedOn w:val="DefaultParagraphFont"/>
    <w:link w:val="BodyText"/>
    <w:rsid w:val="00472A27"/>
    <w:rPr>
      <w:rFonts w:ascii="Calibri" w:eastAsia="Times New Roman" w:hAnsi="Calibri" w:cs="Times New Roman"/>
      <w:szCs w:val="24"/>
      <w:lang w:eastAsia="ar-SA"/>
    </w:rPr>
  </w:style>
  <w:style w:type="character" w:styleId="CommentReference">
    <w:name w:val="annotation reference"/>
    <w:basedOn w:val="DefaultParagraphFont"/>
    <w:uiPriority w:val="99"/>
    <w:semiHidden/>
    <w:unhideWhenUsed/>
    <w:rsid w:val="00472A27"/>
    <w:rPr>
      <w:sz w:val="16"/>
      <w:szCs w:val="16"/>
    </w:rPr>
  </w:style>
  <w:style w:type="paragraph" w:styleId="CommentText">
    <w:name w:val="annotation text"/>
    <w:basedOn w:val="Normal"/>
    <w:link w:val="CommentTextChar"/>
    <w:uiPriority w:val="99"/>
    <w:semiHidden/>
    <w:unhideWhenUsed/>
    <w:rsid w:val="00472A27"/>
    <w:pPr>
      <w:spacing w:line="240" w:lineRule="auto"/>
    </w:pPr>
    <w:rPr>
      <w:sz w:val="20"/>
      <w:szCs w:val="20"/>
    </w:rPr>
  </w:style>
  <w:style w:type="character" w:customStyle="1" w:styleId="CommentTextChar">
    <w:name w:val="Comment Text Char"/>
    <w:basedOn w:val="DefaultParagraphFont"/>
    <w:link w:val="CommentText"/>
    <w:uiPriority w:val="99"/>
    <w:semiHidden/>
    <w:rsid w:val="00472A27"/>
    <w:rPr>
      <w:sz w:val="20"/>
      <w:szCs w:val="20"/>
    </w:rPr>
  </w:style>
  <w:style w:type="paragraph" w:styleId="CommentSubject">
    <w:name w:val="annotation subject"/>
    <w:basedOn w:val="CommentText"/>
    <w:next w:val="CommentText"/>
    <w:link w:val="CommentSubjectChar"/>
    <w:uiPriority w:val="99"/>
    <w:semiHidden/>
    <w:unhideWhenUsed/>
    <w:rsid w:val="00472A27"/>
    <w:rPr>
      <w:b/>
      <w:bCs/>
    </w:rPr>
  </w:style>
  <w:style w:type="character" w:customStyle="1" w:styleId="CommentSubjectChar">
    <w:name w:val="Comment Subject Char"/>
    <w:basedOn w:val="CommentTextChar"/>
    <w:link w:val="CommentSubject"/>
    <w:uiPriority w:val="99"/>
    <w:semiHidden/>
    <w:rsid w:val="00472A27"/>
    <w:rPr>
      <w:b/>
      <w:bCs/>
      <w:sz w:val="20"/>
      <w:szCs w:val="20"/>
    </w:rPr>
  </w:style>
  <w:style w:type="paragraph" w:styleId="BalloonText">
    <w:name w:val="Balloon Text"/>
    <w:basedOn w:val="Normal"/>
    <w:link w:val="BalloonTextChar"/>
    <w:uiPriority w:val="99"/>
    <w:semiHidden/>
    <w:unhideWhenUsed/>
    <w:rsid w:val="00472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27"/>
    <w:rPr>
      <w:rFonts w:ascii="Segoe UI" w:hAnsi="Segoe UI" w:cs="Segoe UI"/>
      <w:sz w:val="18"/>
      <w:szCs w:val="18"/>
    </w:rPr>
  </w:style>
  <w:style w:type="paragraph" w:styleId="TOC3">
    <w:name w:val="toc 3"/>
    <w:basedOn w:val="Normal"/>
    <w:next w:val="Normal"/>
    <w:autoRedefine/>
    <w:uiPriority w:val="39"/>
    <w:unhideWhenUsed/>
    <w:rsid w:val="00472A27"/>
    <w:pPr>
      <w:spacing w:after="100"/>
      <w:ind w:left="440"/>
    </w:pPr>
    <w:rPr>
      <w:rFonts w:eastAsiaTheme="minorEastAsia"/>
      <w:lang w:eastAsia="en-IE"/>
    </w:rPr>
  </w:style>
  <w:style w:type="paragraph" w:styleId="TOC4">
    <w:name w:val="toc 4"/>
    <w:basedOn w:val="Normal"/>
    <w:next w:val="Normal"/>
    <w:autoRedefine/>
    <w:uiPriority w:val="39"/>
    <w:unhideWhenUsed/>
    <w:rsid w:val="00472A27"/>
    <w:pPr>
      <w:spacing w:after="100"/>
      <w:ind w:left="660"/>
    </w:pPr>
    <w:rPr>
      <w:rFonts w:eastAsiaTheme="minorEastAsia"/>
      <w:lang w:eastAsia="en-IE"/>
    </w:rPr>
  </w:style>
  <w:style w:type="paragraph" w:styleId="TOC5">
    <w:name w:val="toc 5"/>
    <w:basedOn w:val="Normal"/>
    <w:next w:val="Normal"/>
    <w:autoRedefine/>
    <w:uiPriority w:val="39"/>
    <w:unhideWhenUsed/>
    <w:rsid w:val="00472A27"/>
    <w:pPr>
      <w:spacing w:after="100"/>
      <w:ind w:left="880"/>
    </w:pPr>
    <w:rPr>
      <w:rFonts w:eastAsiaTheme="minorEastAsia"/>
      <w:lang w:eastAsia="en-IE"/>
    </w:rPr>
  </w:style>
  <w:style w:type="paragraph" w:styleId="TOC6">
    <w:name w:val="toc 6"/>
    <w:basedOn w:val="Normal"/>
    <w:next w:val="Normal"/>
    <w:autoRedefine/>
    <w:uiPriority w:val="39"/>
    <w:unhideWhenUsed/>
    <w:rsid w:val="00472A27"/>
    <w:pPr>
      <w:spacing w:after="100"/>
      <w:ind w:left="1100"/>
    </w:pPr>
    <w:rPr>
      <w:rFonts w:eastAsiaTheme="minorEastAsia"/>
      <w:lang w:eastAsia="en-IE"/>
    </w:rPr>
  </w:style>
  <w:style w:type="paragraph" w:styleId="TOC7">
    <w:name w:val="toc 7"/>
    <w:basedOn w:val="Normal"/>
    <w:next w:val="Normal"/>
    <w:autoRedefine/>
    <w:uiPriority w:val="39"/>
    <w:unhideWhenUsed/>
    <w:rsid w:val="00472A27"/>
    <w:pPr>
      <w:spacing w:after="100"/>
      <w:ind w:left="1320"/>
    </w:pPr>
    <w:rPr>
      <w:rFonts w:eastAsiaTheme="minorEastAsia"/>
      <w:lang w:eastAsia="en-IE"/>
    </w:rPr>
  </w:style>
  <w:style w:type="paragraph" w:styleId="TOC8">
    <w:name w:val="toc 8"/>
    <w:basedOn w:val="Normal"/>
    <w:next w:val="Normal"/>
    <w:autoRedefine/>
    <w:uiPriority w:val="39"/>
    <w:unhideWhenUsed/>
    <w:rsid w:val="00472A27"/>
    <w:pPr>
      <w:spacing w:after="100"/>
      <w:ind w:left="1540"/>
    </w:pPr>
    <w:rPr>
      <w:rFonts w:eastAsiaTheme="minorEastAsia"/>
      <w:lang w:eastAsia="en-IE"/>
    </w:rPr>
  </w:style>
  <w:style w:type="paragraph" w:styleId="TOC9">
    <w:name w:val="toc 9"/>
    <w:basedOn w:val="Normal"/>
    <w:next w:val="Normal"/>
    <w:autoRedefine/>
    <w:uiPriority w:val="39"/>
    <w:unhideWhenUsed/>
    <w:rsid w:val="00472A27"/>
    <w:pPr>
      <w:spacing w:after="100"/>
      <w:ind w:left="1760"/>
    </w:pPr>
    <w:rPr>
      <w:rFonts w:eastAsiaTheme="minorEastAsia"/>
      <w:lang w:eastAsia="en-IE"/>
    </w:rPr>
  </w:style>
  <w:style w:type="paragraph" w:customStyle="1" w:styleId="Substyle">
    <w:name w:val="Sub style"/>
    <w:basedOn w:val="Normal"/>
    <w:rsid w:val="003C0752"/>
    <w:pPr>
      <w:widowControl w:val="0"/>
      <w:numPr>
        <w:numId w:val="26"/>
      </w:numPr>
      <w:tabs>
        <w:tab w:val="left" w:pos="4395"/>
      </w:tabs>
      <w:spacing w:after="120" w:line="240" w:lineRule="auto"/>
    </w:pPr>
    <w:rPr>
      <w:rFonts w:ascii="Calibri" w:eastAsia="Times New Roman" w:hAnsi="Calibri" w:cs="Times New Roman"/>
      <w:bCs/>
      <w:szCs w:val="20"/>
      <w:lang w:val="en-GB"/>
    </w:rPr>
  </w:style>
  <w:style w:type="character" w:customStyle="1" w:styleId="ListParagraphChar">
    <w:name w:val="List Paragraph Char"/>
    <w:link w:val="ListParagraph"/>
    <w:uiPriority w:val="34"/>
    <w:locked/>
    <w:rsid w:val="00E06088"/>
  </w:style>
  <w:style w:type="paragraph" w:customStyle="1" w:styleId="Default">
    <w:name w:val="Default"/>
    <w:rsid w:val="00637F47"/>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FA21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160">
      <w:bodyDiv w:val="1"/>
      <w:marLeft w:val="0"/>
      <w:marRight w:val="0"/>
      <w:marTop w:val="0"/>
      <w:marBottom w:val="0"/>
      <w:divBdr>
        <w:top w:val="none" w:sz="0" w:space="0" w:color="auto"/>
        <w:left w:val="none" w:sz="0" w:space="0" w:color="auto"/>
        <w:bottom w:val="none" w:sz="0" w:space="0" w:color="auto"/>
        <w:right w:val="none" w:sz="0" w:space="0" w:color="auto"/>
      </w:divBdr>
    </w:div>
    <w:div w:id="285895213">
      <w:bodyDiv w:val="1"/>
      <w:marLeft w:val="0"/>
      <w:marRight w:val="0"/>
      <w:marTop w:val="0"/>
      <w:marBottom w:val="0"/>
      <w:divBdr>
        <w:top w:val="none" w:sz="0" w:space="0" w:color="auto"/>
        <w:left w:val="none" w:sz="0" w:space="0" w:color="auto"/>
        <w:bottom w:val="none" w:sz="0" w:space="0" w:color="auto"/>
        <w:right w:val="none" w:sz="0" w:space="0" w:color="auto"/>
      </w:divBdr>
    </w:div>
    <w:div w:id="333381846">
      <w:bodyDiv w:val="1"/>
      <w:marLeft w:val="0"/>
      <w:marRight w:val="0"/>
      <w:marTop w:val="0"/>
      <w:marBottom w:val="0"/>
      <w:divBdr>
        <w:top w:val="none" w:sz="0" w:space="0" w:color="auto"/>
        <w:left w:val="none" w:sz="0" w:space="0" w:color="auto"/>
        <w:bottom w:val="none" w:sz="0" w:space="0" w:color="auto"/>
        <w:right w:val="none" w:sz="0" w:space="0" w:color="auto"/>
      </w:divBdr>
    </w:div>
    <w:div w:id="377365696">
      <w:bodyDiv w:val="1"/>
      <w:marLeft w:val="0"/>
      <w:marRight w:val="0"/>
      <w:marTop w:val="0"/>
      <w:marBottom w:val="0"/>
      <w:divBdr>
        <w:top w:val="none" w:sz="0" w:space="0" w:color="auto"/>
        <w:left w:val="none" w:sz="0" w:space="0" w:color="auto"/>
        <w:bottom w:val="none" w:sz="0" w:space="0" w:color="auto"/>
        <w:right w:val="none" w:sz="0" w:space="0" w:color="auto"/>
      </w:divBdr>
    </w:div>
    <w:div w:id="495804114">
      <w:bodyDiv w:val="1"/>
      <w:marLeft w:val="0"/>
      <w:marRight w:val="0"/>
      <w:marTop w:val="0"/>
      <w:marBottom w:val="0"/>
      <w:divBdr>
        <w:top w:val="none" w:sz="0" w:space="0" w:color="auto"/>
        <w:left w:val="none" w:sz="0" w:space="0" w:color="auto"/>
        <w:bottom w:val="none" w:sz="0" w:space="0" w:color="auto"/>
        <w:right w:val="none" w:sz="0" w:space="0" w:color="auto"/>
      </w:divBdr>
    </w:div>
    <w:div w:id="510029681">
      <w:bodyDiv w:val="1"/>
      <w:marLeft w:val="0"/>
      <w:marRight w:val="0"/>
      <w:marTop w:val="0"/>
      <w:marBottom w:val="0"/>
      <w:divBdr>
        <w:top w:val="none" w:sz="0" w:space="0" w:color="auto"/>
        <w:left w:val="none" w:sz="0" w:space="0" w:color="auto"/>
        <w:bottom w:val="none" w:sz="0" w:space="0" w:color="auto"/>
        <w:right w:val="none" w:sz="0" w:space="0" w:color="auto"/>
      </w:divBdr>
    </w:div>
    <w:div w:id="510340664">
      <w:bodyDiv w:val="1"/>
      <w:marLeft w:val="0"/>
      <w:marRight w:val="0"/>
      <w:marTop w:val="0"/>
      <w:marBottom w:val="0"/>
      <w:divBdr>
        <w:top w:val="none" w:sz="0" w:space="0" w:color="auto"/>
        <w:left w:val="none" w:sz="0" w:space="0" w:color="auto"/>
        <w:bottom w:val="none" w:sz="0" w:space="0" w:color="auto"/>
        <w:right w:val="none" w:sz="0" w:space="0" w:color="auto"/>
      </w:divBdr>
    </w:div>
    <w:div w:id="602735443">
      <w:bodyDiv w:val="1"/>
      <w:marLeft w:val="0"/>
      <w:marRight w:val="0"/>
      <w:marTop w:val="0"/>
      <w:marBottom w:val="0"/>
      <w:divBdr>
        <w:top w:val="none" w:sz="0" w:space="0" w:color="auto"/>
        <w:left w:val="none" w:sz="0" w:space="0" w:color="auto"/>
        <w:bottom w:val="none" w:sz="0" w:space="0" w:color="auto"/>
        <w:right w:val="none" w:sz="0" w:space="0" w:color="auto"/>
      </w:divBdr>
    </w:div>
    <w:div w:id="659581591">
      <w:bodyDiv w:val="1"/>
      <w:marLeft w:val="0"/>
      <w:marRight w:val="0"/>
      <w:marTop w:val="0"/>
      <w:marBottom w:val="0"/>
      <w:divBdr>
        <w:top w:val="none" w:sz="0" w:space="0" w:color="auto"/>
        <w:left w:val="none" w:sz="0" w:space="0" w:color="auto"/>
        <w:bottom w:val="none" w:sz="0" w:space="0" w:color="auto"/>
        <w:right w:val="none" w:sz="0" w:space="0" w:color="auto"/>
      </w:divBdr>
    </w:div>
    <w:div w:id="823742621">
      <w:bodyDiv w:val="1"/>
      <w:marLeft w:val="0"/>
      <w:marRight w:val="0"/>
      <w:marTop w:val="0"/>
      <w:marBottom w:val="0"/>
      <w:divBdr>
        <w:top w:val="none" w:sz="0" w:space="0" w:color="auto"/>
        <w:left w:val="none" w:sz="0" w:space="0" w:color="auto"/>
        <w:bottom w:val="none" w:sz="0" w:space="0" w:color="auto"/>
        <w:right w:val="none" w:sz="0" w:space="0" w:color="auto"/>
      </w:divBdr>
    </w:div>
    <w:div w:id="867178999">
      <w:bodyDiv w:val="1"/>
      <w:marLeft w:val="0"/>
      <w:marRight w:val="0"/>
      <w:marTop w:val="0"/>
      <w:marBottom w:val="0"/>
      <w:divBdr>
        <w:top w:val="none" w:sz="0" w:space="0" w:color="auto"/>
        <w:left w:val="none" w:sz="0" w:space="0" w:color="auto"/>
        <w:bottom w:val="none" w:sz="0" w:space="0" w:color="auto"/>
        <w:right w:val="none" w:sz="0" w:space="0" w:color="auto"/>
      </w:divBdr>
    </w:div>
    <w:div w:id="883904153">
      <w:bodyDiv w:val="1"/>
      <w:marLeft w:val="0"/>
      <w:marRight w:val="0"/>
      <w:marTop w:val="0"/>
      <w:marBottom w:val="0"/>
      <w:divBdr>
        <w:top w:val="none" w:sz="0" w:space="0" w:color="auto"/>
        <w:left w:val="none" w:sz="0" w:space="0" w:color="auto"/>
        <w:bottom w:val="none" w:sz="0" w:space="0" w:color="auto"/>
        <w:right w:val="none" w:sz="0" w:space="0" w:color="auto"/>
      </w:divBdr>
      <w:divsChild>
        <w:div w:id="2029020489">
          <w:marLeft w:val="29"/>
          <w:marRight w:val="0"/>
          <w:marTop w:val="0"/>
          <w:marBottom w:val="0"/>
          <w:divBdr>
            <w:top w:val="none" w:sz="0" w:space="0" w:color="auto"/>
            <w:left w:val="none" w:sz="0" w:space="0" w:color="auto"/>
            <w:bottom w:val="none" w:sz="0" w:space="0" w:color="auto"/>
            <w:right w:val="none" w:sz="0" w:space="0" w:color="auto"/>
          </w:divBdr>
        </w:div>
      </w:divsChild>
    </w:div>
    <w:div w:id="1040589058">
      <w:bodyDiv w:val="1"/>
      <w:marLeft w:val="0"/>
      <w:marRight w:val="0"/>
      <w:marTop w:val="0"/>
      <w:marBottom w:val="0"/>
      <w:divBdr>
        <w:top w:val="none" w:sz="0" w:space="0" w:color="auto"/>
        <w:left w:val="none" w:sz="0" w:space="0" w:color="auto"/>
        <w:bottom w:val="none" w:sz="0" w:space="0" w:color="auto"/>
        <w:right w:val="none" w:sz="0" w:space="0" w:color="auto"/>
      </w:divBdr>
    </w:div>
    <w:div w:id="1176116131">
      <w:bodyDiv w:val="1"/>
      <w:marLeft w:val="0"/>
      <w:marRight w:val="0"/>
      <w:marTop w:val="0"/>
      <w:marBottom w:val="0"/>
      <w:divBdr>
        <w:top w:val="none" w:sz="0" w:space="0" w:color="auto"/>
        <w:left w:val="none" w:sz="0" w:space="0" w:color="auto"/>
        <w:bottom w:val="none" w:sz="0" w:space="0" w:color="auto"/>
        <w:right w:val="none" w:sz="0" w:space="0" w:color="auto"/>
      </w:divBdr>
    </w:div>
    <w:div w:id="1335455149">
      <w:bodyDiv w:val="1"/>
      <w:marLeft w:val="0"/>
      <w:marRight w:val="0"/>
      <w:marTop w:val="0"/>
      <w:marBottom w:val="0"/>
      <w:divBdr>
        <w:top w:val="none" w:sz="0" w:space="0" w:color="auto"/>
        <w:left w:val="none" w:sz="0" w:space="0" w:color="auto"/>
        <w:bottom w:val="none" w:sz="0" w:space="0" w:color="auto"/>
        <w:right w:val="none" w:sz="0" w:space="0" w:color="auto"/>
      </w:divBdr>
    </w:div>
    <w:div w:id="1479612254">
      <w:bodyDiv w:val="1"/>
      <w:marLeft w:val="0"/>
      <w:marRight w:val="0"/>
      <w:marTop w:val="0"/>
      <w:marBottom w:val="0"/>
      <w:divBdr>
        <w:top w:val="none" w:sz="0" w:space="0" w:color="auto"/>
        <w:left w:val="none" w:sz="0" w:space="0" w:color="auto"/>
        <w:bottom w:val="none" w:sz="0" w:space="0" w:color="auto"/>
        <w:right w:val="none" w:sz="0" w:space="0" w:color="auto"/>
      </w:divBdr>
      <w:divsChild>
        <w:div w:id="267549623">
          <w:marLeft w:val="-120"/>
          <w:marRight w:val="0"/>
          <w:marTop w:val="0"/>
          <w:marBottom w:val="0"/>
          <w:divBdr>
            <w:top w:val="none" w:sz="0" w:space="0" w:color="auto"/>
            <w:left w:val="none" w:sz="0" w:space="0" w:color="auto"/>
            <w:bottom w:val="none" w:sz="0" w:space="0" w:color="auto"/>
            <w:right w:val="none" w:sz="0" w:space="0" w:color="auto"/>
          </w:divBdr>
        </w:div>
      </w:divsChild>
    </w:div>
    <w:div w:id="1508711266">
      <w:bodyDiv w:val="1"/>
      <w:marLeft w:val="0"/>
      <w:marRight w:val="0"/>
      <w:marTop w:val="0"/>
      <w:marBottom w:val="0"/>
      <w:divBdr>
        <w:top w:val="none" w:sz="0" w:space="0" w:color="auto"/>
        <w:left w:val="none" w:sz="0" w:space="0" w:color="auto"/>
        <w:bottom w:val="none" w:sz="0" w:space="0" w:color="auto"/>
        <w:right w:val="none" w:sz="0" w:space="0" w:color="auto"/>
      </w:divBdr>
    </w:div>
    <w:div w:id="1558472365">
      <w:bodyDiv w:val="1"/>
      <w:marLeft w:val="0"/>
      <w:marRight w:val="0"/>
      <w:marTop w:val="0"/>
      <w:marBottom w:val="0"/>
      <w:divBdr>
        <w:top w:val="none" w:sz="0" w:space="0" w:color="auto"/>
        <w:left w:val="none" w:sz="0" w:space="0" w:color="auto"/>
        <w:bottom w:val="none" w:sz="0" w:space="0" w:color="auto"/>
        <w:right w:val="none" w:sz="0" w:space="0" w:color="auto"/>
      </w:divBdr>
    </w:div>
    <w:div w:id="1750417540">
      <w:bodyDiv w:val="1"/>
      <w:marLeft w:val="0"/>
      <w:marRight w:val="0"/>
      <w:marTop w:val="0"/>
      <w:marBottom w:val="0"/>
      <w:divBdr>
        <w:top w:val="none" w:sz="0" w:space="0" w:color="auto"/>
        <w:left w:val="none" w:sz="0" w:space="0" w:color="auto"/>
        <w:bottom w:val="none" w:sz="0" w:space="0" w:color="auto"/>
        <w:right w:val="none" w:sz="0" w:space="0" w:color="auto"/>
      </w:divBdr>
    </w:div>
    <w:div w:id="1897007580">
      <w:bodyDiv w:val="1"/>
      <w:marLeft w:val="0"/>
      <w:marRight w:val="0"/>
      <w:marTop w:val="0"/>
      <w:marBottom w:val="0"/>
      <w:divBdr>
        <w:top w:val="none" w:sz="0" w:space="0" w:color="auto"/>
        <w:left w:val="none" w:sz="0" w:space="0" w:color="auto"/>
        <w:bottom w:val="none" w:sz="0" w:space="0" w:color="auto"/>
        <w:right w:val="none" w:sz="0" w:space="0" w:color="auto"/>
      </w:divBdr>
    </w:div>
    <w:div w:id="20368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21D7-DBB7-4A24-B0B7-44B07D47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12433</Words>
  <Characters>70869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O'Sullivan</dc:creator>
  <cp:lastModifiedBy>Lori Johnston</cp:lastModifiedBy>
  <cp:revision>2</cp:revision>
  <cp:lastPrinted>2018-04-18T20:49:00Z</cp:lastPrinted>
  <dcterms:created xsi:type="dcterms:W3CDTF">2018-10-13T14:48:00Z</dcterms:created>
  <dcterms:modified xsi:type="dcterms:W3CDTF">2018-10-13T14:48:00Z</dcterms:modified>
</cp:coreProperties>
</file>